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5172A">
      <w:pPr>
        <w:spacing w:line="360" w:lineRule="auto"/>
        <w:rPr>
          <w:rFonts w:hint="eastAsia" w:ascii="宋体" w:hAnsi="宋体" w:eastAsia="宋体" w:cs="Times New Roman"/>
          <w:b/>
          <w:sz w:val="24"/>
          <w:szCs w:val="21"/>
          <w:highlight w:val="none"/>
          <w:lang w:val="en-US" w:eastAsia="zh-CN" w:bidi="ar-SA"/>
        </w:rPr>
      </w:pPr>
      <w:bookmarkStart w:id="0" w:name="_Toc219628448"/>
      <w:r>
        <w:rPr>
          <w:rFonts w:hint="eastAsia" w:ascii="宋体" w:hAnsi="宋体" w:eastAsia="宋体" w:cs="Times New Roman"/>
          <w:b/>
          <w:sz w:val="24"/>
          <w:szCs w:val="21"/>
          <w:highlight w:val="none"/>
          <w:lang w:val="en-US" w:eastAsia="zh-CN" w:bidi="ar-SA"/>
        </w:rPr>
        <w:t>比选编号：RHZC-WL-2026</w:t>
      </w:r>
    </w:p>
    <w:p w14:paraId="52925F2F">
      <w:pPr>
        <w:spacing w:line="360" w:lineRule="auto"/>
        <w:rPr>
          <w:rFonts w:hint="eastAsia" w:ascii="宋体" w:hAnsi="宋体" w:eastAsia="宋体" w:cs="Times New Roman"/>
          <w:b/>
          <w:sz w:val="44"/>
          <w:szCs w:val="44"/>
          <w:highlight w:val="none"/>
          <w:u w:val="single"/>
          <w:lang w:val="en-US" w:eastAsia="zh-CN" w:bidi="ar-SA"/>
        </w:rPr>
      </w:pPr>
    </w:p>
    <w:p w14:paraId="14576789">
      <w:pPr>
        <w:spacing w:line="360" w:lineRule="auto"/>
        <w:jc w:val="center"/>
        <w:rPr>
          <w:rFonts w:hint="eastAsia" w:ascii="宋体" w:hAnsi="宋体" w:eastAsia="宋体" w:cs="Times New Roman"/>
          <w:b/>
          <w:sz w:val="72"/>
          <w:szCs w:val="72"/>
          <w:highlight w:val="none"/>
          <w:lang w:val="en-US" w:eastAsia="zh-CN" w:bidi="ar-SA"/>
        </w:rPr>
      </w:pPr>
      <w:r>
        <w:rPr>
          <w:rFonts w:hint="eastAsia" w:ascii="宋体" w:hAnsi="宋体" w:cs="Times New Roman"/>
          <w:b/>
          <w:sz w:val="72"/>
          <w:szCs w:val="72"/>
          <w:highlight w:val="none"/>
          <w:lang w:val="en-US" w:eastAsia="zh-CN" w:bidi="ar-SA"/>
        </w:rPr>
        <w:t>四川瑞华合纵实业有限公司成品铟物流运输服务采购项目（第二次）</w:t>
      </w:r>
    </w:p>
    <w:p w14:paraId="10D41362">
      <w:pPr>
        <w:spacing w:line="360" w:lineRule="auto"/>
        <w:jc w:val="center"/>
        <w:rPr>
          <w:rFonts w:hint="eastAsia" w:ascii="宋体" w:hAnsi="宋体" w:eastAsia="宋体" w:cs="Times New Roman"/>
          <w:b/>
          <w:sz w:val="72"/>
          <w:szCs w:val="72"/>
          <w:highlight w:val="none"/>
          <w:lang w:val="en-US" w:eastAsia="zh-CN" w:bidi="ar-SA"/>
        </w:rPr>
      </w:pPr>
    </w:p>
    <w:p w14:paraId="15D79D07">
      <w:pPr>
        <w:tabs>
          <w:tab w:val="left" w:pos="210"/>
          <w:tab w:val="center" w:pos="4818"/>
        </w:tabs>
        <w:spacing w:line="360" w:lineRule="auto"/>
        <w:jc w:val="center"/>
        <w:rPr>
          <w:rFonts w:hint="eastAsia" w:ascii="宋体" w:hAnsi="宋体" w:eastAsia="宋体" w:cs="Times New Roman"/>
          <w:b/>
          <w:spacing w:val="60"/>
          <w:sz w:val="96"/>
          <w:szCs w:val="24"/>
          <w:highlight w:val="none"/>
          <w:lang w:val="en-US" w:eastAsia="zh-CN" w:bidi="ar-SA"/>
        </w:rPr>
      </w:pPr>
      <w:r>
        <w:rPr>
          <w:rFonts w:hint="eastAsia" w:ascii="宋体" w:hAnsi="宋体" w:eastAsia="宋体" w:cs="Times New Roman"/>
          <w:b/>
          <w:spacing w:val="60"/>
          <w:sz w:val="96"/>
          <w:szCs w:val="24"/>
          <w:highlight w:val="none"/>
          <w:lang w:val="en-US" w:eastAsia="zh-CN" w:bidi="ar-SA"/>
        </w:rPr>
        <w:t>比选文件</w:t>
      </w:r>
    </w:p>
    <w:p w14:paraId="134650CC">
      <w:pPr>
        <w:spacing w:line="360" w:lineRule="auto"/>
        <w:rPr>
          <w:rFonts w:hint="eastAsia" w:ascii="宋体" w:hAnsi="宋体" w:eastAsia="宋体" w:cs="Times New Roman"/>
          <w:b/>
          <w:sz w:val="32"/>
          <w:szCs w:val="24"/>
          <w:highlight w:val="none"/>
          <w:lang w:val="en-US" w:eastAsia="zh-CN" w:bidi="ar-SA"/>
        </w:rPr>
      </w:pPr>
    </w:p>
    <w:p w14:paraId="6F1B18A6">
      <w:pPr>
        <w:spacing w:line="360" w:lineRule="auto"/>
        <w:ind w:firstLine="600" w:firstLineChars="200"/>
        <w:rPr>
          <w:rFonts w:ascii="宋体" w:hAnsi="宋体" w:eastAsia="宋体" w:cs="Times New Roman"/>
          <w:sz w:val="30"/>
          <w:szCs w:val="30"/>
          <w:highlight w:val="none"/>
          <w:u w:val="single"/>
          <w:lang w:val="en-US" w:eastAsia="zh-CN" w:bidi="ar-SA"/>
        </w:rPr>
      </w:pPr>
    </w:p>
    <w:p w14:paraId="0D59DC3F">
      <w:pPr>
        <w:spacing w:line="360" w:lineRule="auto"/>
        <w:ind w:firstLine="600" w:firstLineChars="200"/>
        <w:rPr>
          <w:rFonts w:hint="eastAsia" w:ascii="宋体" w:hAnsi="宋体" w:eastAsia="宋体" w:cs="Times New Roman"/>
          <w:sz w:val="30"/>
          <w:szCs w:val="30"/>
          <w:highlight w:val="none"/>
          <w:u w:val="single"/>
          <w:lang w:val="en-US" w:eastAsia="zh-CN" w:bidi="ar-SA"/>
        </w:rPr>
      </w:pPr>
    </w:p>
    <w:p w14:paraId="03F90802">
      <w:pPr>
        <w:spacing w:line="360" w:lineRule="auto"/>
        <w:ind w:right="640"/>
        <w:jc w:val="center"/>
        <w:rPr>
          <w:rFonts w:ascii="宋体" w:hAnsi="宋体"/>
          <w:sz w:val="30"/>
          <w:szCs w:val="30"/>
          <w:highlight w:val="none"/>
        </w:rPr>
      </w:pPr>
      <w:r>
        <w:rPr>
          <w:rFonts w:hint="eastAsia" w:ascii="宋体" w:hAnsi="宋体"/>
          <w:sz w:val="30"/>
          <w:szCs w:val="30"/>
          <w:highlight w:val="none"/>
        </w:rPr>
        <w:t>比选人：</w:t>
      </w:r>
      <w:r>
        <w:rPr>
          <w:rFonts w:hint="eastAsia" w:ascii="宋体" w:hAnsi="宋体"/>
          <w:sz w:val="30"/>
          <w:szCs w:val="30"/>
          <w:highlight w:val="none"/>
          <w:u w:val="single"/>
        </w:rPr>
        <w:t>四川瑞华合纵实业有限公司</w:t>
      </w:r>
      <w:r>
        <w:rPr>
          <w:rFonts w:hint="eastAsia" w:ascii="宋体" w:hAnsi="宋体"/>
          <w:sz w:val="30"/>
          <w:szCs w:val="30"/>
          <w:highlight w:val="none"/>
        </w:rPr>
        <w:t>（盖单位章）</w:t>
      </w:r>
    </w:p>
    <w:p w14:paraId="4DFBDEDD">
      <w:pPr>
        <w:tabs>
          <w:tab w:val="left" w:pos="5880"/>
        </w:tabs>
        <w:spacing w:line="360" w:lineRule="auto"/>
        <w:jc w:val="center"/>
        <w:rPr>
          <w:rFonts w:hint="eastAsia" w:ascii="宋体" w:hAnsi="宋体"/>
          <w:b/>
          <w:sz w:val="32"/>
          <w:highlight w:val="none"/>
        </w:rPr>
      </w:pPr>
      <w:r>
        <w:rPr>
          <w:rFonts w:hint="eastAsia" w:ascii="宋体" w:hAnsi="宋体"/>
          <w:sz w:val="30"/>
          <w:szCs w:val="30"/>
          <w:highlight w:val="none"/>
        </w:rPr>
        <w:t>时间： 202</w:t>
      </w:r>
      <w:r>
        <w:rPr>
          <w:rFonts w:hint="eastAsia" w:ascii="宋体" w:hAnsi="宋体"/>
          <w:sz w:val="30"/>
          <w:szCs w:val="30"/>
          <w:highlight w:val="none"/>
          <w:lang w:val="en-US" w:eastAsia="zh-CN"/>
        </w:rPr>
        <w:t>6</w:t>
      </w:r>
      <w:r>
        <w:rPr>
          <w:rFonts w:hint="eastAsia" w:ascii="宋体" w:hAnsi="宋体"/>
          <w:sz w:val="30"/>
          <w:szCs w:val="30"/>
          <w:highlight w:val="none"/>
        </w:rPr>
        <w:t>年</w:t>
      </w:r>
      <w:r>
        <w:rPr>
          <w:rFonts w:hint="eastAsia" w:ascii="宋体" w:hAnsi="宋体"/>
          <w:sz w:val="30"/>
          <w:szCs w:val="30"/>
          <w:highlight w:val="none"/>
          <w:lang w:val="en-US" w:eastAsia="zh-CN"/>
        </w:rPr>
        <w:t>4</w:t>
      </w:r>
      <w:r>
        <w:rPr>
          <w:rFonts w:hint="eastAsia" w:ascii="宋体" w:hAnsi="宋体"/>
          <w:sz w:val="30"/>
          <w:szCs w:val="30"/>
          <w:highlight w:val="none"/>
        </w:rPr>
        <w:t>月</w:t>
      </w:r>
    </w:p>
    <w:p w14:paraId="1A187817">
      <w:pPr>
        <w:jc w:val="center"/>
        <w:rPr>
          <w:rFonts w:hint="eastAsia" w:ascii="宋体" w:hAnsi="宋体"/>
          <w:b/>
          <w:sz w:val="32"/>
          <w:highlight w:val="none"/>
        </w:rPr>
      </w:pPr>
      <w:r>
        <w:rPr>
          <w:rFonts w:hint="eastAsia" w:ascii="宋体" w:hAnsi="宋体"/>
          <w:b/>
          <w:sz w:val="32"/>
          <w:highlight w:val="none"/>
        </w:rPr>
        <w:br w:type="page"/>
      </w:r>
    </w:p>
    <w:p w14:paraId="251C9F94">
      <w:pPr>
        <w:pStyle w:val="299"/>
        <w:widowControl/>
        <w:rPr>
          <w:highlight w:val="none"/>
        </w:rPr>
      </w:pPr>
      <w:bookmarkStart w:id="1" w:name="_Toc534192154"/>
      <w:bookmarkStart w:id="2" w:name="_Toc493516177"/>
      <w:r>
        <w:rPr>
          <w:highlight w:val="none"/>
        </w:rPr>
        <w:t>目  录</w:t>
      </w:r>
      <w:bookmarkEnd w:id="1"/>
      <w:bookmarkEnd w:id="2"/>
    </w:p>
    <w:p w14:paraId="3CE86AC6">
      <w:pPr>
        <w:pStyle w:val="43"/>
        <w:tabs>
          <w:tab w:val="right" w:leader="dot" w:pos="9072"/>
          <w:tab w:val="clear" w:pos="8505"/>
        </w:tabs>
        <w:spacing w:line="600" w:lineRule="auto"/>
        <w:ind w:left="0" w:leftChars="0"/>
        <w:rPr>
          <w:rFonts w:ascii="Calibri" w:hAnsi="Calibri"/>
          <w:b w:val="0"/>
          <w:kern w:val="2"/>
          <w:sz w:val="21"/>
          <w:szCs w:val="22"/>
          <w:highlight w:val="none"/>
        </w:rPr>
      </w:pPr>
      <w:r>
        <w:rPr>
          <w:rFonts w:ascii="宋体" w:hAnsi="宋体"/>
          <w:highlight w:val="none"/>
        </w:rPr>
        <w:fldChar w:fldCharType="begin"/>
      </w:r>
      <w:r>
        <w:rPr>
          <w:rFonts w:ascii="宋体" w:hAnsi="宋体"/>
          <w:highlight w:val="none"/>
        </w:rPr>
        <w:instrText xml:space="preserve"> TOC \o "1-2" \h \z \u </w:instrText>
      </w:r>
      <w:r>
        <w:rPr>
          <w:rFonts w:ascii="宋体" w:hAnsi="宋体"/>
          <w:highlight w:val="none"/>
        </w:rPr>
        <w:fldChar w:fldCharType="separate"/>
      </w:r>
      <w:r>
        <w:rPr>
          <w:highlight w:val="none"/>
        </w:rPr>
        <w:fldChar w:fldCharType="begin"/>
      </w:r>
      <w:r>
        <w:rPr>
          <w:rStyle w:val="60"/>
          <w:color w:val="auto"/>
          <w:highlight w:val="none"/>
        </w:rPr>
        <w:instrText xml:space="preserve"> </w:instrText>
      </w:r>
      <w:r>
        <w:rPr>
          <w:highlight w:val="none"/>
        </w:rPr>
        <w:instrText xml:space="preserve">HYPERLINK \l "_Toc177660914"</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第一章</w:t>
      </w:r>
      <w:r>
        <w:rPr>
          <w:rStyle w:val="60"/>
          <w:rFonts w:ascii="宋体" w:hAnsi="宋体"/>
          <w:color w:val="auto"/>
          <w:highlight w:val="none"/>
        </w:rPr>
        <w:t xml:space="preserve"> </w:t>
      </w:r>
      <w:r>
        <w:rPr>
          <w:rStyle w:val="60"/>
          <w:rFonts w:hint="eastAsia" w:ascii="宋体" w:hAnsi="宋体"/>
          <w:color w:val="auto"/>
          <w:highlight w:val="none"/>
        </w:rPr>
        <w:t>比选</w:t>
      </w:r>
      <w:bookmarkStart w:id="3" w:name="_Hlt184289941"/>
      <w:bookmarkStart w:id="4" w:name="_Hlt177663651"/>
      <w:bookmarkStart w:id="5" w:name="_Hlt177663650"/>
      <w:bookmarkStart w:id="6" w:name="_Hlt177678778"/>
      <w:r>
        <w:rPr>
          <w:rStyle w:val="60"/>
          <w:rFonts w:hint="eastAsia" w:ascii="宋体" w:hAnsi="宋体"/>
          <w:color w:val="auto"/>
          <w:highlight w:val="none"/>
        </w:rPr>
        <w:t>公</w:t>
      </w:r>
      <w:bookmarkEnd w:id="3"/>
      <w:bookmarkEnd w:id="4"/>
      <w:bookmarkEnd w:id="5"/>
      <w:bookmarkEnd w:id="6"/>
      <w:bookmarkStart w:id="7" w:name="_Hlt177718983"/>
      <w:bookmarkStart w:id="8" w:name="_Hlt177718982"/>
      <w:r>
        <w:rPr>
          <w:rStyle w:val="60"/>
          <w:rFonts w:hint="eastAsia" w:ascii="宋体" w:hAnsi="宋体"/>
          <w:color w:val="auto"/>
          <w:highlight w:val="none"/>
        </w:rPr>
        <w:t>告</w:t>
      </w:r>
      <w:bookmarkEnd w:id="7"/>
      <w:bookmarkEnd w:id="8"/>
      <w:r>
        <w:rPr>
          <w:highlight w:val="none"/>
        </w:rPr>
        <w:tab/>
      </w:r>
      <w:r>
        <w:rPr>
          <w:highlight w:val="none"/>
        </w:rPr>
        <w:fldChar w:fldCharType="begin"/>
      </w:r>
      <w:r>
        <w:rPr>
          <w:highlight w:val="none"/>
        </w:rPr>
        <w:instrText xml:space="preserve"> PAGEREF _Toc177660914 \h </w:instrText>
      </w:r>
      <w:r>
        <w:rPr>
          <w:highlight w:val="none"/>
        </w:rPr>
        <w:fldChar w:fldCharType="separate"/>
      </w:r>
      <w:r>
        <w:rPr>
          <w:highlight w:val="none"/>
        </w:rPr>
        <w:t>3</w:t>
      </w:r>
      <w:r>
        <w:rPr>
          <w:highlight w:val="none"/>
        </w:rPr>
        <w:fldChar w:fldCharType="end"/>
      </w:r>
      <w:r>
        <w:rPr>
          <w:highlight w:val="none"/>
        </w:rPr>
        <w:fldChar w:fldCharType="end"/>
      </w:r>
    </w:p>
    <w:p w14:paraId="4F75E426">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"_Toc177660915"</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第二章</w:t>
      </w:r>
      <w:r>
        <w:rPr>
          <w:rStyle w:val="60"/>
          <w:rFonts w:ascii="宋体" w:hAnsi="宋体"/>
          <w:color w:val="auto"/>
          <w:highlight w:val="none"/>
        </w:rPr>
        <w:t xml:space="preserve"> </w:t>
      </w:r>
      <w:r>
        <w:rPr>
          <w:rStyle w:val="60"/>
          <w:rFonts w:hint="eastAsia" w:ascii="宋体" w:hAnsi="宋体"/>
          <w:color w:val="auto"/>
          <w:highlight w:val="none"/>
        </w:rPr>
        <w:t>比</w:t>
      </w:r>
      <w:bookmarkStart w:id="9" w:name="_Hlt177719417"/>
      <w:r>
        <w:rPr>
          <w:rStyle w:val="60"/>
          <w:rFonts w:hint="eastAsia" w:ascii="宋体" w:hAnsi="宋体"/>
          <w:color w:val="auto"/>
          <w:highlight w:val="none"/>
        </w:rPr>
        <w:t>选</w:t>
      </w:r>
      <w:bookmarkEnd w:id="9"/>
      <w:bookmarkStart w:id="10" w:name="_Hlt177674860"/>
      <w:r>
        <w:rPr>
          <w:rStyle w:val="60"/>
          <w:rFonts w:hint="eastAsia" w:ascii="宋体" w:hAnsi="宋体"/>
          <w:color w:val="auto"/>
          <w:highlight w:val="none"/>
        </w:rPr>
        <w:t>申</w:t>
      </w:r>
      <w:bookmarkEnd w:id="10"/>
      <w:bookmarkStart w:id="11" w:name="_Hlt177671498"/>
      <w:bookmarkStart w:id="12" w:name="_Hlt177679951"/>
      <w:r>
        <w:rPr>
          <w:rStyle w:val="60"/>
          <w:rFonts w:hint="eastAsia" w:ascii="宋体" w:hAnsi="宋体"/>
          <w:color w:val="auto"/>
          <w:highlight w:val="none"/>
        </w:rPr>
        <w:t>请</w:t>
      </w:r>
      <w:bookmarkEnd w:id="11"/>
      <w:bookmarkEnd w:id="12"/>
      <w:bookmarkStart w:id="13" w:name="_Hlt177679125"/>
      <w:r>
        <w:rPr>
          <w:rStyle w:val="60"/>
          <w:rFonts w:hint="eastAsia" w:ascii="宋体" w:hAnsi="宋体"/>
          <w:color w:val="auto"/>
          <w:highlight w:val="none"/>
        </w:rPr>
        <w:t>人</w:t>
      </w:r>
      <w:bookmarkEnd w:id="13"/>
      <w:r>
        <w:rPr>
          <w:rStyle w:val="60"/>
          <w:rFonts w:hint="eastAsia" w:ascii="宋体" w:hAnsi="宋体"/>
          <w:color w:val="auto"/>
          <w:highlight w:val="none"/>
        </w:rPr>
        <w:t>须</w:t>
      </w:r>
      <w:bookmarkStart w:id="14" w:name="_Hlt184288556"/>
      <w:bookmarkStart w:id="15" w:name="_Hlt184288555"/>
      <w:r>
        <w:rPr>
          <w:rStyle w:val="60"/>
          <w:rFonts w:hint="eastAsia" w:ascii="宋体" w:hAnsi="宋体"/>
          <w:color w:val="auto"/>
          <w:highlight w:val="none"/>
        </w:rPr>
        <w:t>知</w:t>
      </w:r>
      <w:bookmarkEnd w:id="14"/>
      <w:bookmarkEnd w:id="15"/>
      <w:r>
        <w:rPr>
          <w:highlight w:val="none"/>
        </w:rPr>
        <w:tab/>
      </w:r>
      <w:r>
        <w:rPr>
          <w:highlight w:val="none"/>
        </w:rPr>
        <w:fldChar w:fldCharType="begin"/>
      </w:r>
      <w:r>
        <w:rPr>
          <w:highlight w:val="none"/>
        </w:rPr>
        <w:instrText xml:space="preserve"> PAGEREF _Toc177660915 \h </w:instrText>
      </w:r>
      <w:r>
        <w:rPr>
          <w:highlight w:val="none"/>
        </w:rPr>
        <w:fldChar w:fldCharType="separate"/>
      </w:r>
      <w:r>
        <w:rPr>
          <w:highlight w:val="none"/>
        </w:rPr>
        <w:t>5</w:t>
      </w:r>
      <w:r>
        <w:rPr>
          <w:highlight w:val="none"/>
        </w:rPr>
        <w:fldChar w:fldCharType="end"/>
      </w:r>
      <w:r>
        <w:rPr>
          <w:highlight w:val="none"/>
        </w:rPr>
        <w:fldChar w:fldCharType="end"/>
      </w:r>
    </w:p>
    <w:p w14:paraId="12E77DB3">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"_Toc177660962"</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第三章</w:t>
      </w:r>
      <w:r>
        <w:rPr>
          <w:rStyle w:val="60"/>
          <w:rFonts w:ascii="宋体" w:hAnsi="宋体"/>
          <w:color w:val="auto"/>
          <w:highlight w:val="none"/>
        </w:rPr>
        <w:t xml:space="preserve"> </w:t>
      </w:r>
      <w:r>
        <w:rPr>
          <w:rStyle w:val="60"/>
          <w:rFonts w:hint="eastAsia" w:ascii="宋体" w:hAnsi="宋体"/>
          <w:color w:val="auto"/>
          <w:highlight w:val="none"/>
        </w:rPr>
        <w:t>评</w:t>
      </w:r>
      <w:bookmarkStart w:id="16" w:name="_Hlt178000343"/>
      <w:bookmarkStart w:id="17" w:name="_Hlt177666857"/>
      <w:bookmarkStart w:id="18" w:name="_Hlt177666856"/>
      <w:r>
        <w:rPr>
          <w:rStyle w:val="60"/>
          <w:rFonts w:hint="eastAsia" w:ascii="宋体" w:hAnsi="宋体"/>
          <w:color w:val="auto"/>
          <w:highlight w:val="none"/>
        </w:rPr>
        <w:t>审</w:t>
      </w:r>
      <w:bookmarkEnd w:id="16"/>
      <w:bookmarkEnd w:id="17"/>
      <w:bookmarkEnd w:id="18"/>
      <w:bookmarkStart w:id="19" w:name="_Hlt177671307"/>
      <w:bookmarkStart w:id="20" w:name="_Hlt177663090"/>
      <w:bookmarkStart w:id="21" w:name="_Hlt177669740"/>
      <w:bookmarkStart w:id="22" w:name="_Hlt177683123"/>
      <w:bookmarkStart w:id="23" w:name="_Hlt177671648"/>
      <w:r>
        <w:rPr>
          <w:rStyle w:val="60"/>
          <w:rFonts w:hint="eastAsia" w:ascii="宋体" w:hAnsi="宋体"/>
          <w:color w:val="auto"/>
          <w:highlight w:val="none"/>
        </w:rPr>
        <w:t>办</w:t>
      </w:r>
      <w:bookmarkEnd w:id="19"/>
      <w:bookmarkEnd w:id="20"/>
      <w:bookmarkEnd w:id="21"/>
      <w:bookmarkEnd w:id="22"/>
      <w:bookmarkEnd w:id="23"/>
      <w:bookmarkStart w:id="24" w:name="_Hlt177678464"/>
      <w:bookmarkStart w:id="25" w:name="_Hlt177682985"/>
      <w:bookmarkStart w:id="26" w:name="_Hlt177672408"/>
      <w:r>
        <w:rPr>
          <w:rStyle w:val="60"/>
          <w:rFonts w:hint="eastAsia" w:ascii="宋体" w:hAnsi="宋体"/>
          <w:color w:val="auto"/>
          <w:highlight w:val="none"/>
        </w:rPr>
        <w:t>法</w:t>
      </w:r>
      <w:bookmarkEnd w:id="24"/>
      <w:bookmarkEnd w:id="25"/>
      <w:bookmarkEnd w:id="26"/>
      <w:r>
        <w:rPr>
          <w:highlight w:val="none"/>
        </w:rPr>
        <w:tab/>
      </w:r>
      <w:r>
        <w:rPr>
          <w:highlight w:val="none"/>
        </w:rPr>
        <w:fldChar w:fldCharType="begin"/>
      </w:r>
      <w:r>
        <w:rPr>
          <w:highlight w:val="none"/>
        </w:rPr>
        <w:instrText xml:space="preserve"> PAGEREF _Toc177660962 \h </w:instrText>
      </w:r>
      <w:r>
        <w:rPr>
          <w:highlight w:val="none"/>
        </w:rPr>
        <w:fldChar w:fldCharType="separate"/>
      </w:r>
      <w:r>
        <w:rPr>
          <w:highlight w:val="none"/>
        </w:rPr>
        <w:t>26</w:t>
      </w:r>
      <w:r>
        <w:rPr>
          <w:highlight w:val="none"/>
        </w:rPr>
        <w:fldChar w:fldCharType="end"/>
      </w:r>
      <w:r>
        <w:rPr>
          <w:highlight w:val="none"/>
        </w:rPr>
        <w:fldChar w:fldCharType="end"/>
      </w:r>
    </w:p>
    <w:p w14:paraId="7D1B1037">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"_Toc177660967"</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第四章</w:t>
      </w:r>
      <w:r>
        <w:rPr>
          <w:rStyle w:val="60"/>
          <w:rFonts w:ascii="宋体" w:hAnsi="宋体"/>
          <w:color w:val="auto"/>
          <w:highlight w:val="none"/>
        </w:rPr>
        <w:t xml:space="preserve"> </w:t>
      </w:r>
      <w:r>
        <w:rPr>
          <w:rStyle w:val="60"/>
          <w:rFonts w:hint="eastAsia" w:ascii="宋体" w:hAnsi="宋体"/>
          <w:color w:val="auto"/>
          <w:highlight w:val="none"/>
        </w:rPr>
        <w:t>合同</w:t>
      </w:r>
      <w:bookmarkStart w:id="27" w:name="_Hlt177999801"/>
      <w:r>
        <w:rPr>
          <w:rStyle w:val="60"/>
          <w:rFonts w:hint="eastAsia" w:ascii="宋体" w:hAnsi="宋体"/>
          <w:color w:val="auto"/>
          <w:highlight w:val="none"/>
        </w:rPr>
        <w:t>条</w:t>
      </w:r>
      <w:bookmarkEnd w:id="27"/>
      <w:bookmarkStart w:id="28" w:name="_Hlt177681326"/>
      <w:r>
        <w:rPr>
          <w:rStyle w:val="60"/>
          <w:rFonts w:hint="eastAsia" w:ascii="宋体" w:hAnsi="宋体"/>
          <w:color w:val="auto"/>
          <w:highlight w:val="none"/>
        </w:rPr>
        <w:t>款</w:t>
      </w:r>
      <w:bookmarkEnd w:id="28"/>
      <w:bookmarkStart w:id="29" w:name="_Hlt177663060"/>
      <w:r>
        <w:rPr>
          <w:rStyle w:val="60"/>
          <w:rFonts w:hint="eastAsia" w:ascii="宋体" w:hAnsi="宋体"/>
          <w:color w:val="auto"/>
          <w:highlight w:val="none"/>
        </w:rPr>
        <w:t>及</w:t>
      </w:r>
      <w:bookmarkEnd w:id="29"/>
      <w:r>
        <w:rPr>
          <w:rStyle w:val="60"/>
          <w:rFonts w:hint="eastAsia" w:ascii="宋体" w:hAnsi="宋体"/>
          <w:color w:val="auto"/>
          <w:highlight w:val="none"/>
        </w:rPr>
        <w:t>格式</w:t>
      </w:r>
      <w:r>
        <w:rPr>
          <w:highlight w:val="none"/>
        </w:rPr>
        <w:tab/>
      </w:r>
      <w:r>
        <w:rPr>
          <w:highlight w:val="none"/>
        </w:rPr>
        <w:fldChar w:fldCharType="begin"/>
      </w:r>
      <w:r>
        <w:rPr>
          <w:highlight w:val="none"/>
        </w:rPr>
        <w:instrText xml:space="preserve"> PAGEREF _Toc177660967 \h </w:instrText>
      </w:r>
      <w:r>
        <w:rPr>
          <w:highlight w:val="none"/>
        </w:rPr>
        <w:fldChar w:fldCharType="separate"/>
      </w:r>
      <w:r>
        <w:rPr>
          <w:highlight w:val="none"/>
        </w:rPr>
        <w:t>32</w:t>
      </w:r>
      <w:r>
        <w:rPr>
          <w:highlight w:val="none"/>
        </w:rPr>
        <w:fldChar w:fldCharType="end"/>
      </w:r>
      <w:r>
        <w:rPr>
          <w:highlight w:val="none"/>
        </w:rPr>
        <w:fldChar w:fldCharType="end"/>
      </w:r>
    </w:p>
    <w:p w14:paraId="51DFAF64">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"_Toc177660968"</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第五章</w:t>
      </w:r>
      <w:r>
        <w:rPr>
          <w:rStyle w:val="60"/>
          <w:rFonts w:ascii="宋体" w:hAnsi="宋体"/>
          <w:color w:val="auto"/>
          <w:highlight w:val="none"/>
        </w:rPr>
        <w:t xml:space="preserve"> </w:t>
      </w:r>
      <w:r>
        <w:rPr>
          <w:rStyle w:val="60"/>
          <w:rFonts w:hint="eastAsia" w:ascii="宋体" w:hAnsi="宋体"/>
          <w:color w:val="auto"/>
          <w:highlight w:val="none"/>
        </w:rPr>
        <w:t>比</w:t>
      </w:r>
      <w:bookmarkStart w:id="30" w:name="_Hlt177681891"/>
      <w:r>
        <w:rPr>
          <w:rStyle w:val="60"/>
          <w:rFonts w:hint="eastAsia" w:ascii="宋体" w:hAnsi="宋体"/>
          <w:color w:val="auto"/>
          <w:highlight w:val="none"/>
        </w:rPr>
        <w:t>选</w:t>
      </w:r>
      <w:bookmarkEnd w:id="30"/>
      <w:bookmarkStart w:id="31" w:name="_Hlt177682048"/>
      <w:r>
        <w:rPr>
          <w:rStyle w:val="60"/>
          <w:rFonts w:hint="eastAsia" w:ascii="宋体" w:hAnsi="宋体"/>
          <w:color w:val="auto"/>
          <w:highlight w:val="none"/>
        </w:rPr>
        <w:t>人</w:t>
      </w:r>
      <w:bookmarkEnd w:id="31"/>
      <w:bookmarkStart w:id="32" w:name="_Hlt177678728"/>
      <w:bookmarkStart w:id="33" w:name="_Hlt184289948"/>
      <w:bookmarkStart w:id="34" w:name="_Hlt177682677"/>
      <w:bookmarkStart w:id="35" w:name="_Hlt177663180"/>
      <w:bookmarkStart w:id="36" w:name="_Hlt184289920"/>
      <w:bookmarkStart w:id="37" w:name="_Hlt178001798"/>
      <w:r>
        <w:rPr>
          <w:rStyle w:val="60"/>
          <w:rFonts w:hint="eastAsia" w:ascii="宋体" w:hAnsi="宋体"/>
          <w:color w:val="auto"/>
          <w:highlight w:val="none"/>
        </w:rPr>
        <w:t>要</w:t>
      </w:r>
      <w:bookmarkEnd w:id="32"/>
      <w:bookmarkEnd w:id="33"/>
      <w:bookmarkEnd w:id="34"/>
      <w:bookmarkEnd w:id="35"/>
      <w:bookmarkEnd w:id="36"/>
      <w:bookmarkEnd w:id="37"/>
      <w:bookmarkStart w:id="38" w:name="_Hlt177678297"/>
      <w:r>
        <w:rPr>
          <w:rStyle w:val="60"/>
          <w:rFonts w:hint="eastAsia" w:ascii="宋体" w:hAnsi="宋体"/>
          <w:color w:val="auto"/>
          <w:highlight w:val="none"/>
        </w:rPr>
        <w:t>求</w:t>
      </w:r>
      <w:bookmarkEnd w:id="38"/>
      <w:r>
        <w:rPr>
          <w:highlight w:val="none"/>
        </w:rPr>
        <w:tab/>
      </w:r>
      <w:r>
        <w:rPr>
          <w:highlight w:val="none"/>
        </w:rPr>
        <w:fldChar w:fldCharType="begin"/>
      </w:r>
      <w:r>
        <w:rPr>
          <w:highlight w:val="none"/>
        </w:rPr>
        <w:instrText xml:space="preserve"> PAGEREF _Toc177660968 \h </w:instrText>
      </w:r>
      <w:r>
        <w:rPr>
          <w:highlight w:val="none"/>
        </w:rPr>
        <w:fldChar w:fldCharType="separate"/>
      </w:r>
      <w:r>
        <w:rPr>
          <w:highlight w:val="none"/>
        </w:rPr>
        <w:t>40</w:t>
      </w:r>
      <w:r>
        <w:rPr>
          <w:highlight w:val="none"/>
        </w:rPr>
        <w:fldChar w:fldCharType="end"/>
      </w:r>
      <w:r>
        <w:rPr>
          <w:highlight w:val="none"/>
        </w:rPr>
        <w:fldChar w:fldCharType="end"/>
      </w:r>
    </w:p>
    <w:p w14:paraId="00EF8204">
      <w:pPr>
        <w:pStyle w:val="43"/>
        <w:tabs>
          <w:tab w:val="right" w:leader="dot" w:pos="9072"/>
          <w:tab w:val="clear" w:pos="8505"/>
        </w:tabs>
        <w:spacing w:line="600" w:lineRule="auto"/>
        <w:ind w:left="0" w:leftChars="0"/>
        <w:rPr>
          <w:rFonts w:ascii="Calibri" w:hAnsi="Calibri"/>
          <w:b w:val="0"/>
          <w:kern w:val="2"/>
          <w:sz w:val="21"/>
          <w:szCs w:val="22"/>
          <w:highlight w:val="none"/>
        </w:rPr>
      </w:pPr>
      <w:r>
        <w:rPr>
          <w:highlight w:val="none"/>
        </w:rPr>
        <w:fldChar w:fldCharType="begin"/>
      </w:r>
      <w:r>
        <w:rPr>
          <w:rStyle w:val="60"/>
          <w:color w:val="auto"/>
          <w:highlight w:val="none"/>
        </w:rPr>
        <w:instrText xml:space="preserve"> </w:instrText>
      </w:r>
      <w:r>
        <w:rPr>
          <w:highlight w:val="none"/>
        </w:rPr>
        <w:instrText xml:space="preserve">HYPERLINK \l "_Toc177660969"</w:instrText>
      </w:r>
      <w:r>
        <w:rPr>
          <w:rStyle w:val="60"/>
          <w:color w:val="auto"/>
          <w:highlight w:val="none"/>
        </w:rPr>
        <w:instrText xml:space="preserve"> </w:instrText>
      </w:r>
      <w:r>
        <w:rPr>
          <w:highlight w:val="none"/>
        </w:rPr>
        <w:fldChar w:fldCharType="separate"/>
      </w:r>
      <w:r>
        <w:rPr>
          <w:rStyle w:val="60"/>
          <w:rFonts w:hint="eastAsia" w:ascii="宋体" w:hAnsi="宋体"/>
          <w:color w:val="auto"/>
          <w:highlight w:val="none"/>
        </w:rPr>
        <w:t>第六章</w:t>
      </w:r>
      <w:r>
        <w:rPr>
          <w:rStyle w:val="60"/>
          <w:rFonts w:ascii="宋体" w:hAnsi="宋体"/>
          <w:color w:val="auto"/>
          <w:highlight w:val="none"/>
        </w:rPr>
        <w:t xml:space="preserve"> </w:t>
      </w:r>
      <w:r>
        <w:rPr>
          <w:rStyle w:val="60"/>
          <w:rFonts w:hint="eastAsia" w:ascii="宋体" w:hAnsi="宋体"/>
          <w:color w:val="auto"/>
          <w:highlight w:val="none"/>
        </w:rPr>
        <w:t>比</w:t>
      </w:r>
      <w:bookmarkStart w:id="39" w:name="_Hlt193882852"/>
      <w:r>
        <w:rPr>
          <w:rStyle w:val="60"/>
          <w:rFonts w:hint="eastAsia" w:ascii="宋体" w:hAnsi="宋体"/>
          <w:color w:val="auto"/>
          <w:highlight w:val="none"/>
        </w:rPr>
        <w:t>选</w:t>
      </w:r>
      <w:bookmarkEnd w:id="39"/>
      <w:bookmarkStart w:id="40" w:name="_Hlt177680398"/>
      <w:bookmarkStart w:id="41" w:name="_Hlt184290377"/>
      <w:bookmarkStart w:id="42" w:name="_Hlt177680586"/>
      <w:bookmarkStart w:id="43" w:name="_Hlt177680068"/>
      <w:bookmarkStart w:id="44" w:name="_Hlt177680970"/>
      <w:r>
        <w:rPr>
          <w:rStyle w:val="60"/>
          <w:rFonts w:hint="eastAsia" w:ascii="宋体" w:hAnsi="宋体"/>
          <w:color w:val="auto"/>
          <w:highlight w:val="none"/>
        </w:rPr>
        <w:t>申</w:t>
      </w:r>
      <w:bookmarkEnd w:id="40"/>
      <w:bookmarkEnd w:id="41"/>
      <w:bookmarkEnd w:id="42"/>
      <w:bookmarkEnd w:id="43"/>
      <w:bookmarkEnd w:id="44"/>
      <w:bookmarkStart w:id="45" w:name="_Hlt177680208"/>
      <w:bookmarkStart w:id="46" w:name="_Hlt177677853"/>
      <w:r>
        <w:rPr>
          <w:rStyle w:val="60"/>
          <w:rFonts w:hint="eastAsia" w:ascii="宋体" w:hAnsi="宋体"/>
          <w:color w:val="auto"/>
          <w:highlight w:val="none"/>
        </w:rPr>
        <w:t>请</w:t>
      </w:r>
      <w:bookmarkEnd w:id="45"/>
      <w:bookmarkEnd w:id="46"/>
      <w:bookmarkStart w:id="47" w:name="_Hlt184290562"/>
      <w:r>
        <w:rPr>
          <w:rStyle w:val="60"/>
          <w:rFonts w:hint="eastAsia" w:ascii="宋体" w:hAnsi="宋体"/>
          <w:color w:val="auto"/>
          <w:highlight w:val="none"/>
        </w:rPr>
        <w:t>文</w:t>
      </w:r>
      <w:bookmarkEnd w:id="47"/>
      <w:r>
        <w:rPr>
          <w:rStyle w:val="60"/>
          <w:rFonts w:hint="eastAsia" w:ascii="宋体" w:hAnsi="宋体"/>
          <w:color w:val="auto"/>
          <w:highlight w:val="none"/>
        </w:rPr>
        <w:t>件格式</w:t>
      </w:r>
      <w:r>
        <w:rPr>
          <w:highlight w:val="none"/>
        </w:rPr>
        <w:tab/>
      </w:r>
      <w:r>
        <w:rPr>
          <w:highlight w:val="none"/>
        </w:rPr>
        <w:fldChar w:fldCharType="begin"/>
      </w:r>
      <w:r>
        <w:rPr>
          <w:highlight w:val="none"/>
        </w:rPr>
        <w:instrText xml:space="preserve"> PAGEREF _Toc177660969 \h </w:instrText>
      </w:r>
      <w:r>
        <w:rPr>
          <w:highlight w:val="none"/>
        </w:rPr>
        <w:fldChar w:fldCharType="separate"/>
      </w:r>
      <w:r>
        <w:rPr>
          <w:highlight w:val="none"/>
        </w:rPr>
        <w:t>41</w:t>
      </w:r>
      <w:r>
        <w:rPr>
          <w:highlight w:val="none"/>
        </w:rPr>
        <w:fldChar w:fldCharType="end"/>
      </w:r>
      <w:r>
        <w:rPr>
          <w:highlight w:val="none"/>
        </w:rPr>
        <w:fldChar w:fldCharType="end"/>
      </w:r>
    </w:p>
    <w:p w14:paraId="1900B924">
      <w:pPr>
        <w:spacing w:line="360" w:lineRule="auto"/>
        <w:rPr>
          <w:rFonts w:hint="eastAsia" w:ascii="宋体" w:hAnsi="宋体"/>
          <w:highlight w:val="none"/>
        </w:rPr>
      </w:pPr>
      <w:r>
        <w:rPr>
          <w:rFonts w:ascii="宋体" w:hAnsi="宋体"/>
          <w:highlight w:val="none"/>
        </w:rPr>
        <w:fldChar w:fldCharType="end"/>
      </w:r>
    </w:p>
    <w:bookmarkEnd w:id="0"/>
    <w:p w14:paraId="79B084E7">
      <w:pPr>
        <w:spacing w:line="360" w:lineRule="auto"/>
        <w:rPr>
          <w:rFonts w:hint="eastAsia" w:ascii="宋体" w:hAnsi="宋体"/>
          <w:highlight w:val="none"/>
        </w:rPr>
      </w:pPr>
      <w:r>
        <w:rPr>
          <w:rFonts w:ascii="宋体" w:hAnsi="宋体"/>
          <w:highlight w:val="none"/>
        </w:rPr>
        <w:br w:type="page"/>
      </w:r>
    </w:p>
    <w:p w14:paraId="3CBDFF31">
      <w:pPr>
        <w:pStyle w:val="300"/>
        <w:ind w:left="0" w:leftChars="0" w:firstLine="0" w:firstLineChars="0"/>
        <w:outlineLvl w:val="0"/>
        <w:rPr>
          <w:highlight w:val="none"/>
        </w:rPr>
      </w:pPr>
      <w:bookmarkStart w:id="48" w:name="_Toc231977608"/>
      <w:bookmarkStart w:id="49" w:name="_Toc219628449"/>
      <w:bookmarkStart w:id="50" w:name="_Toc177660914"/>
      <w:r>
        <w:rPr>
          <w:highlight w:val="none"/>
        </w:rPr>
        <w:t xml:space="preserve">第一章 </w:t>
      </w:r>
      <w:bookmarkEnd w:id="48"/>
      <w:bookmarkEnd w:id="49"/>
      <w:r>
        <w:rPr>
          <w:highlight w:val="none"/>
        </w:rPr>
        <w:t>比选公告</w:t>
      </w:r>
      <w:bookmarkEnd w:id="50"/>
    </w:p>
    <w:p w14:paraId="54770580">
      <w:pPr>
        <w:pStyle w:val="302"/>
        <w:widowControl/>
        <w:ind w:left="0" w:leftChars="0" w:firstLine="0" w:firstLineChars="0"/>
        <w:outlineLvl w:val="0"/>
        <w:rPr>
          <w:rFonts w:hint="eastAsia" w:eastAsia="宋体"/>
          <w:highlight w:val="none"/>
          <w:lang w:eastAsia="zh-CN"/>
        </w:rPr>
      </w:pPr>
      <w:bookmarkStart w:id="51" w:name="OLE_LINK28"/>
      <w:bookmarkStart w:id="52" w:name="OLE_LINK3"/>
      <w:r>
        <w:rPr>
          <w:rFonts w:hint="eastAsia"/>
          <w:highlight w:val="none"/>
          <w:lang w:eastAsia="zh-CN"/>
        </w:rPr>
        <w:t>四川瑞华合纵实业有限公司成品铟物流运输服务采购项目（第二次）</w:t>
      </w:r>
    </w:p>
    <w:bookmarkEnd w:id="51"/>
    <w:p w14:paraId="0043F6CF">
      <w:pPr>
        <w:pStyle w:val="301"/>
        <w:widowControl/>
        <w:ind w:left="0" w:leftChars="0" w:firstLine="0" w:firstLineChars="0"/>
        <w:outlineLvl w:val="9"/>
        <w:rPr>
          <w:highlight w:val="none"/>
        </w:rPr>
      </w:pPr>
      <w:bookmarkStart w:id="53" w:name="_Toc219628457"/>
      <w:r>
        <w:rPr>
          <w:highlight w:val="none"/>
        </w:rPr>
        <w:t>比选公告</w:t>
      </w:r>
    </w:p>
    <w:p w14:paraId="57E8EEC4">
      <w:pPr>
        <w:pStyle w:val="2"/>
        <w:widowControl/>
        <w:numPr>
          <w:ilvl w:val="0"/>
          <w:numId w:val="4"/>
        </w:numPr>
        <w:tabs>
          <w:tab w:val="left" w:pos="840"/>
        </w:tabs>
        <w:topLinePunct w:val="0"/>
        <w:ind w:left="0" w:leftChars="0" w:firstLine="480" w:firstLineChars="200"/>
        <w:rPr>
          <w:b/>
          <w:highlight w:val="none"/>
        </w:rPr>
      </w:pPr>
      <w:r>
        <w:rPr>
          <w:highlight w:val="none"/>
        </w:rPr>
        <w:t>比选条件</w:t>
      </w:r>
    </w:p>
    <w:p w14:paraId="6E4E1E42">
      <w:pPr>
        <w:pStyle w:val="19"/>
        <w:widowControl/>
        <w:ind w:left="0" w:leftChars="0" w:firstLine="480" w:firstLineChars="200"/>
        <w:rPr>
          <w:highlight w:val="none"/>
        </w:rPr>
      </w:pPr>
      <w:r>
        <w:rPr>
          <w:highlight w:val="none"/>
        </w:rPr>
        <w:t>1.1本比选项目</w:t>
      </w:r>
      <w:r>
        <w:rPr>
          <w:rFonts w:hint="eastAsia"/>
          <w:highlight w:val="none"/>
          <w:u w:val="single"/>
          <w:lang w:eastAsia="zh-CN"/>
        </w:rPr>
        <w:t>四川瑞华合纵实业有限公司成品铟物流运输服务采购项目（第二次）</w:t>
      </w:r>
      <w:r>
        <w:rPr>
          <w:highlight w:val="none"/>
        </w:rPr>
        <w:t>（项目名称），项目业主为</w:t>
      </w:r>
      <w:r>
        <w:rPr>
          <w:highlight w:val="none"/>
          <w:u w:val="single"/>
        </w:rPr>
        <w:t>四川瑞华合纵实业有限公司</w:t>
      </w:r>
      <w:r>
        <w:rPr>
          <w:highlight w:val="none"/>
        </w:rPr>
        <w:t>，项目资金来自</w:t>
      </w:r>
      <w:r>
        <w:rPr>
          <w:highlight w:val="none"/>
          <w:u w:val="single"/>
        </w:rPr>
        <w:t>业主自筹</w:t>
      </w:r>
      <w:r>
        <w:rPr>
          <w:highlight w:val="none"/>
        </w:rPr>
        <w:t>，出资比例为</w:t>
      </w:r>
      <w:r>
        <w:rPr>
          <w:highlight w:val="none"/>
          <w:u w:val="single"/>
        </w:rPr>
        <w:t>100%</w:t>
      </w:r>
      <w:r>
        <w:rPr>
          <w:highlight w:val="none"/>
        </w:rPr>
        <w:t>，比选人为</w:t>
      </w:r>
      <w:r>
        <w:rPr>
          <w:highlight w:val="none"/>
          <w:u w:val="single"/>
        </w:rPr>
        <w:t>四川瑞华合纵实业有限公司</w:t>
      </w:r>
      <w:r>
        <w:rPr>
          <w:highlight w:val="none"/>
        </w:rPr>
        <w:t>。项目己具备比选条件，现对该项目进行公开比选。</w:t>
      </w:r>
    </w:p>
    <w:p w14:paraId="305190E4">
      <w:pPr>
        <w:pStyle w:val="2"/>
        <w:widowControl/>
        <w:numPr>
          <w:ilvl w:val="0"/>
          <w:numId w:val="4"/>
        </w:numPr>
        <w:tabs>
          <w:tab w:val="left" w:pos="840"/>
        </w:tabs>
        <w:topLinePunct w:val="0"/>
        <w:ind w:left="0" w:leftChars="0" w:firstLine="480" w:firstLineChars="200"/>
        <w:rPr>
          <w:b/>
          <w:highlight w:val="none"/>
        </w:rPr>
      </w:pPr>
      <w:r>
        <w:rPr>
          <w:highlight w:val="none"/>
        </w:rPr>
        <w:t>项目概况与比选范围</w:t>
      </w:r>
    </w:p>
    <w:p w14:paraId="05BBE14B">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项目概况：</w:t>
      </w:r>
      <w:r>
        <w:rPr>
          <w:rFonts w:hint="eastAsia"/>
          <w:highlight w:val="none"/>
          <w:lang w:eastAsia="zh-CN"/>
        </w:rPr>
        <w:t>四川瑞华合纵实业有限公司成品铟物流运输服务采购项目（第二次）</w:t>
      </w:r>
      <w:r>
        <w:rPr>
          <w:highlight w:val="none"/>
        </w:rPr>
        <w:t>。</w:t>
      </w:r>
    </w:p>
    <w:p w14:paraId="52E0B5D6">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比选范围：</w:t>
      </w:r>
      <w:bookmarkStart w:id="54" w:name="OLE_LINK6"/>
      <w:bookmarkStart w:id="55" w:name="OLE_LINK8"/>
      <w:bookmarkStart w:id="56" w:name="OLE_LINK9"/>
      <w:r>
        <w:rPr>
          <w:highlight w:val="none"/>
        </w:rPr>
        <w:t>拟通过公开比选选聘运输服务单位提供成品</w:t>
      </w:r>
      <w:bookmarkStart w:id="57" w:name="OLE_LINK1"/>
      <w:r>
        <w:rPr>
          <w:highlight w:val="none"/>
        </w:rPr>
        <w:t>铟</w:t>
      </w:r>
      <w:bookmarkEnd w:id="57"/>
      <w:r>
        <w:rPr>
          <w:highlight w:val="none"/>
        </w:rPr>
        <w:t>运输服务，</w:t>
      </w:r>
      <w:bookmarkStart w:id="58" w:name="OLE_LINK17"/>
      <w:r>
        <w:rPr>
          <w:highlight w:val="none"/>
        </w:rPr>
        <w:t>供应商须按比选人要求投保足额货物运输保险，受益人为比选人。鉴于货物特殊性，保险条款包含高免赔约定的，一旦发生货损事故，供应商须承担无条件全额赔偿责任，即：在保险公司赔付完毕后，所有剩余损失（含免赔额、拒赔部分及保险公司核损差额）均由供应商承担，直至弥补比选人全部货物价值损失为止，供应商不得以任何理由主张减免。其他具体内容详见“比选文件第五章比选人要求”</w:t>
      </w:r>
      <w:bookmarkEnd w:id="54"/>
      <w:bookmarkEnd w:id="58"/>
      <w:r>
        <w:rPr>
          <w:highlight w:val="none"/>
        </w:rPr>
        <w:t>。</w:t>
      </w:r>
      <w:bookmarkEnd w:id="55"/>
      <w:bookmarkEnd w:id="56"/>
    </w:p>
    <w:p w14:paraId="1E25800C">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服务期限：</w:t>
      </w:r>
      <w:bookmarkStart w:id="59" w:name="OLE_LINK11"/>
      <w:bookmarkStart w:id="60" w:name="OLE_LINK12"/>
      <w:bookmarkStart w:id="61" w:name="OLE_LINK10"/>
      <w:bookmarkStart w:id="62" w:name="OLE_LINK13"/>
      <w:r>
        <w:rPr>
          <w:highlight w:val="none"/>
        </w:rPr>
        <w:t>自合同签订之日起1年。</w:t>
      </w:r>
      <w:bookmarkEnd w:id="59"/>
      <w:bookmarkEnd w:id="60"/>
      <w:bookmarkEnd w:id="61"/>
      <w:bookmarkEnd w:id="62"/>
    </w:p>
    <w:p w14:paraId="6792586D">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服务地点：比选人指定地点。</w:t>
      </w:r>
    </w:p>
    <w:p w14:paraId="04C57089">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质量要求：满足比选人要求。</w:t>
      </w:r>
    </w:p>
    <w:p w14:paraId="28873BB1">
      <w:pPr>
        <w:pStyle w:val="19"/>
        <w:widowControl/>
        <w:numPr>
          <w:ilvl w:val="0"/>
          <w:numId w:val="5"/>
        </w:numPr>
        <w:tabs>
          <w:tab w:val="left" w:pos="900"/>
          <w:tab w:val="clear" w:pos="210"/>
        </w:tabs>
        <w:ind w:left="0" w:leftChars="0" w:firstLine="480" w:firstLineChars="200"/>
        <w:rPr>
          <w:rFonts w:hint="eastAsia" w:ascii="宋体" w:hAnsi="宋体" w:eastAsia="宋体" w:cs="宋体"/>
          <w:b w:val="0"/>
          <w:highlight w:val="none"/>
        </w:rPr>
      </w:pPr>
      <w:r>
        <w:rPr>
          <w:highlight w:val="none"/>
        </w:rPr>
        <w:t>标段划分：本项目共划分为</w:t>
      </w:r>
      <w:r>
        <w:rPr>
          <w:highlight w:val="none"/>
          <w:u w:val="single"/>
        </w:rPr>
        <w:t>1</w:t>
      </w:r>
      <w:r>
        <w:rPr>
          <w:highlight w:val="none"/>
        </w:rPr>
        <w:t>个标段。</w:t>
      </w:r>
    </w:p>
    <w:p w14:paraId="617FC237">
      <w:pPr>
        <w:pStyle w:val="2"/>
        <w:widowControl/>
        <w:numPr>
          <w:ilvl w:val="0"/>
          <w:numId w:val="4"/>
        </w:numPr>
        <w:tabs>
          <w:tab w:val="left" w:pos="840"/>
        </w:tabs>
        <w:topLinePunct w:val="0"/>
        <w:ind w:left="0" w:leftChars="0" w:firstLine="480" w:firstLineChars="200"/>
        <w:rPr>
          <w:b/>
          <w:highlight w:val="none"/>
        </w:rPr>
      </w:pPr>
      <w:r>
        <w:rPr>
          <w:highlight w:val="none"/>
        </w:rPr>
        <w:t>比选申请人的资格要求</w:t>
      </w:r>
    </w:p>
    <w:p w14:paraId="44A68452">
      <w:pPr>
        <w:pStyle w:val="3"/>
        <w:widowControl/>
        <w:numPr>
          <w:ilvl w:val="0"/>
          <w:numId w:val="6"/>
        </w:numPr>
        <w:tabs>
          <w:tab w:val="left" w:pos="900"/>
          <w:tab w:val="clear" w:pos="210"/>
        </w:tabs>
        <w:ind w:left="0" w:leftChars="0" w:firstLine="480" w:firstLineChars="200"/>
        <w:rPr>
          <w:b/>
          <w:highlight w:val="none"/>
        </w:rPr>
      </w:pPr>
      <w:r>
        <w:rPr>
          <w:highlight w:val="none"/>
        </w:rPr>
        <w:t>本次比选要求比选申请人：</w:t>
      </w:r>
    </w:p>
    <w:p w14:paraId="0ADCAFE1">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具有独立承担民事责任的能力；</w:t>
      </w:r>
    </w:p>
    <w:p w14:paraId="197753B7">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具有良好的商业信誉和健全的财务会计制度；</w:t>
      </w:r>
    </w:p>
    <w:p w14:paraId="7383B2AF">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具有履行合同所必须的设备和专业技术能力；</w:t>
      </w:r>
    </w:p>
    <w:p w14:paraId="60DA38AE">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具有依法缴纳税收和社会保障资金的良好记录；</w:t>
      </w:r>
    </w:p>
    <w:p w14:paraId="0A6BB0C3">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参加本次比选活动前三年内，在经营活动中没有重大违法违规记录；</w:t>
      </w:r>
    </w:p>
    <w:p w14:paraId="676217AE">
      <w:pPr>
        <w:pStyle w:val="19"/>
        <w:widowControl/>
        <w:numPr>
          <w:ilvl w:val="0"/>
          <w:numId w:val="7"/>
        </w:numPr>
        <w:tabs>
          <w:tab w:val="left" w:pos="1080"/>
          <w:tab w:val="clear" w:pos="210"/>
        </w:tabs>
        <w:ind w:left="0" w:leftChars="0" w:firstLine="480" w:firstLineChars="200"/>
        <w:rPr>
          <w:rFonts w:hint="eastAsia" w:ascii="宋体" w:hAnsi="宋体" w:eastAsia="宋体" w:cs="宋体"/>
          <w:b w:val="0"/>
          <w:highlight w:val="none"/>
        </w:rPr>
      </w:pPr>
      <w:r>
        <w:rPr>
          <w:highlight w:val="none"/>
        </w:rPr>
        <w:t>本项目的特定资格要求：</w:t>
      </w:r>
      <w:bookmarkStart w:id="63" w:name="OLE_LINK14"/>
      <w:bookmarkStart w:id="64" w:name="OLE_LINK7"/>
      <w:bookmarkStart w:id="65" w:name="OLE_LINK15"/>
      <w:r>
        <w:rPr>
          <w:highlight w:val="none"/>
          <w:u w:val="single"/>
        </w:rPr>
        <w:t>具有有效的道路运输经营许可证</w:t>
      </w:r>
      <w:bookmarkEnd w:id="63"/>
      <w:r>
        <w:rPr>
          <w:highlight w:val="none"/>
          <w:u w:val="single"/>
        </w:rPr>
        <w:t>；202</w:t>
      </w:r>
      <w:r>
        <w:rPr>
          <w:rFonts w:hint="eastAsia"/>
          <w:highlight w:val="none"/>
          <w:u w:val="single"/>
          <w:lang w:val="en-US" w:eastAsia="zh-CN"/>
        </w:rPr>
        <w:t>5</w:t>
      </w:r>
      <w:r>
        <w:rPr>
          <w:highlight w:val="none"/>
          <w:u w:val="single"/>
        </w:rPr>
        <w:t>年1月1日以来具有三个类似业绩，类似业绩是指</w:t>
      </w:r>
      <w:bookmarkEnd w:id="64"/>
      <w:bookmarkStart w:id="66" w:name="OLE_LINK2"/>
      <w:r>
        <w:rPr>
          <w:highlight w:val="none"/>
          <w:u w:val="single"/>
        </w:rPr>
        <w:t>贵金属运输服务业绩</w:t>
      </w:r>
      <w:bookmarkEnd w:id="66"/>
      <w:r>
        <w:rPr>
          <w:highlight w:val="none"/>
          <w:u w:val="single"/>
        </w:rPr>
        <w:t>。</w:t>
      </w:r>
      <w:bookmarkEnd w:id="65"/>
    </w:p>
    <w:p w14:paraId="4B20D309">
      <w:pPr>
        <w:pStyle w:val="3"/>
        <w:widowControl/>
        <w:numPr>
          <w:ilvl w:val="0"/>
          <w:numId w:val="6"/>
        </w:numPr>
        <w:tabs>
          <w:tab w:val="left" w:pos="900"/>
          <w:tab w:val="clear" w:pos="210"/>
        </w:tabs>
        <w:ind w:left="0" w:leftChars="0" w:firstLine="480" w:firstLineChars="200"/>
        <w:rPr>
          <w:rFonts w:hint="eastAsia" w:ascii="宋体" w:hAnsi="宋体" w:eastAsia="宋体" w:cs="宋体"/>
          <w:b/>
          <w:highlight w:val="none"/>
        </w:rPr>
      </w:pPr>
      <w:r>
        <w:rPr>
          <w:highlight w:val="none"/>
        </w:rPr>
        <w:t>本次比选</w:t>
      </w:r>
      <w:r>
        <w:rPr>
          <w:highlight w:val="none"/>
          <w:u w:val="single"/>
        </w:rPr>
        <w:t>不接受</w:t>
      </w:r>
      <w:r>
        <w:rPr>
          <w:highlight w:val="none"/>
        </w:rPr>
        <w:t>联合体参选。</w:t>
      </w:r>
    </w:p>
    <w:p w14:paraId="2BA00225">
      <w:pPr>
        <w:pStyle w:val="2"/>
        <w:widowControl/>
        <w:numPr>
          <w:ilvl w:val="0"/>
          <w:numId w:val="4"/>
        </w:numPr>
        <w:tabs>
          <w:tab w:val="left" w:pos="840"/>
        </w:tabs>
        <w:topLinePunct w:val="0"/>
        <w:ind w:left="0" w:leftChars="0" w:firstLine="480" w:firstLineChars="200"/>
        <w:rPr>
          <w:b/>
          <w:highlight w:val="none"/>
        </w:rPr>
      </w:pPr>
      <w:r>
        <w:rPr>
          <w:highlight w:val="none"/>
        </w:rPr>
        <w:t>比选文件的获取</w:t>
      </w:r>
    </w:p>
    <w:p w14:paraId="561D75AF">
      <w:pPr>
        <w:pStyle w:val="19"/>
        <w:widowControl/>
        <w:ind w:left="0" w:leftChars="0" w:firstLine="480" w:firstLineChars="200"/>
        <w:rPr>
          <w:highlight w:val="none"/>
        </w:rPr>
      </w:pPr>
      <w:r>
        <w:rPr>
          <w:highlight w:val="none"/>
        </w:rPr>
        <w:t>4.1凡有意参加的比选申请人，请于</w:t>
      </w:r>
      <w:r>
        <w:rPr>
          <w:highlight w:val="none"/>
          <w:u w:val="single"/>
        </w:rPr>
        <w:t>2026年0</w:t>
      </w:r>
      <w:r>
        <w:rPr>
          <w:rFonts w:hint="eastAsia"/>
          <w:highlight w:val="none"/>
          <w:u w:val="single"/>
          <w:lang w:val="en-US" w:eastAsia="zh-CN"/>
        </w:rPr>
        <w:t>4</w:t>
      </w:r>
      <w:r>
        <w:rPr>
          <w:highlight w:val="none"/>
          <w:u w:val="single"/>
        </w:rPr>
        <w:t>月</w:t>
      </w:r>
      <w:r>
        <w:rPr>
          <w:rFonts w:hint="eastAsia"/>
          <w:highlight w:val="none"/>
          <w:u w:val="single"/>
          <w:lang w:val="en-US" w:eastAsia="zh-CN"/>
        </w:rPr>
        <w:t>18</w:t>
      </w:r>
      <w:r>
        <w:rPr>
          <w:highlight w:val="none"/>
          <w:u w:val="single"/>
        </w:rPr>
        <w:t>日至 2026年04月</w:t>
      </w:r>
      <w:r>
        <w:rPr>
          <w:rFonts w:hint="eastAsia"/>
          <w:highlight w:val="none"/>
          <w:u w:val="single"/>
          <w:lang w:val="en-US" w:eastAsia="zh-CN"/>
        </w:rPr>
        <w:t>24</w:t>
      </w:r>
      <w:r>
        <w:rPr>
          <w:highlight w:val="none"/>
          <w:u w:val="single"/>
        </w:rPr>
        <w:t>日</w:t>
      </w:r>
      <w:r>
        <w:rPr>
          <w:highlight w:val="none"/>
        </w:rPr>
        <w:t>，持单位介绍信及经办人身份证复印件（加盖单位公章）现场领取，领取地址：</w:t>
      </w:r>
      <w:r>
        <w:rPr>
          <w:highlight w:val="none"/>
          <w:u w:val="single"/>
        </w:rPr>
        <w:t>四川省成都市锦江区毕昇路468号创世纪广场A座34层</w:t>
      </w:r>
      <w:r>
        <w:rPr>
          <w:highlight w:val="none"/>
        </w:rPr>
        <w:t>。</w:t>
      </w:r>
    </w:p>
    <w:p w14:paraId="5A04AB43">
      <w:pPr>
        <w:pStyle w:val="2"/>
        <w:widowControl/>
        <w:numPr>
          <w:ilvl w:val="0"/>
          <w:numId w:val="4"/>
        </w:numPr>
        <w:tabs>
          <w:tab w:val="left" w:pos="840"/>
        </w:tabs>
        <w:topLinePunct w:val="0"/>
        <w:ind w:left="0" w:leftChars="0" w:firstLine="480" w:firstLineChars="200"/>
        <w:rPr>
          <w:b/>
          <w:highlight w:val="none"/>
        </w:rPr>
      </w:pPr>
      <w:r>
        <w:rPr>
          <w:highlight w:val="none"/>
        </w:rPr>
        <w:t>比选申请文件的递交</w:t>
      </w:r>
    </w:p>
    <w:p w14:paraId="659D9D1F">
      <w:pPr>
        <w:pStyle w:val="19"/>
        <w:widowControl/>
        <w:numPr>
          <w:ilvl w:val="0"/>
          <w:numId w:val="8"/>
        </w:numPr>
        <w:tabs>
          <w:tab w:val="left" w:pos="900"/>
          <w:tab w:val="clear" w:pos="210"/>
        </w:tabs>
        <w:ind w:left="0" w:leftChars="0" w:firstLine="480" w:firstLineChars="200"/>
        <w:rPr>
          <w:rFonts w:hint="eastAsia" w:ascii="宋体" w:hAnsi="宋体" w:eastAsia="宋体" w:cs="宋体"/>
          <w:b w:val="0"/>
          <w:highlight w:val="none"/>
          <w:u w:val="single"/>
        </w:rPr>
      </w:pPr>
      <w:r>
        <w:rPr>
          <w:highlight w:val="none"/>
        </w:rPr>
        <w:t>比选申请文件递交的截止时间（比选申请截止时间，下同）</w:t>
      </w:r>
      <w:r>
        <w:rPr>
          <w:highlight w:val="none"/>
          <w:u w:val="single"/>
        </w:rPr>
        <w:t>2026年04月</w:t>
      </w:r>
      <w:r>
        <w:rPr>
          <w:rFonts w:hint="eastAsia"/>
          <w:highlight w:val="none"/>
          <w:u w:val="single"/>
          <w:lang w:val="en-US" w:eastAsia="zh-CN"/>
        </w:rPr>
        <w:t>28</w:t>
      </w:r>
      <w:r>
        <w:rPr>
          <w:highlight w:val="none"/>
          <w:u w:val="single"/>
        </w:rPr>
        <w:t>日10时00分</w:t>
      </w:r>
      <w:r>
        <w:rPr>
          <w:highlight w:val="none"/>
        </w:rPr>
        <w:t>，地点为</w:t>
      </w:r>
      <w:r>
        <w:rPr>
          <w:highlight w:val="none"/>
          <w:u w:val="single"/>
        </w:rPr>
        <w:t>四川省成都市锦江区毕昇路468号创世纪广场A座34层本项目开标室</w:t>
      </w:r>
      <w:r>
        <w:rPr>
          <w:highlight w:val="none"/>
        </w:rPr>
        <w:t>。</w:t>
      </w:r>
    </w:p>
    <w:p w14:paraId="78C03B48">
      <w:pPr>
        <w:pStyle w:val="19"/>
        <w:widowControl/>
        <w:numPr>
          <w:ilvl w:val="0"/>
          <w:numId w:val="8"/>
        </w:numPr>
        <w:tabs>
          <w:tab w:val="left" w:pos="900"/>
          <w:tab w:val="clear" w:pos="210"/>
        </w:tabs>
        <w:ind w:left="0" w:leftChars="0" w:firstLine="480" w:firstLineChars="200"/>
        <w:rPr>
          <w:rFonts w:hint="eastAsia" w:ascii="宋体" w:hAnsi="宋体" w:eastAsia="宋体" w:cs="宋体"/>
          <w:b w:val="0"/>
          <w:highlight w:val="none"/>
        </w:rPr>
      </w:pPr>
      <w:r>
        <w:rPr>
          <w:highlight w:val="none"/>
        </w:rPr>
        <w:t>逾期送达的、未送达指定地点的或者不按照比选文件要求密封的比选申请文件，比选人将予以拒收。</w:t>
      </w:r>
    </w:p>
    <w:p w14:paraId="608D6E1D">
      <w:pPr>
        <w:pStyle w:val="2"/>
        <w:widowControl/>
        <w:numPr>
          <w:ilvl w:val="0"/>
          <w:numId w:val="4"/>
        </w:numPr>
        <w:tabs>
          <w:tab w:val="left" w:pos="840"/>
        </w:tabs>
        <w:topLinePunct w:val="0"/>
        <w:ind w:left="0" w:leftChars="0" w:firstLine="480" w:firstLineChars="200"/>
        <w:rPr>
          <w:b/>
          <w:highlight w:val="none"/>
        </w:rPr>
      </w:pPr>
      <w:r>
        <w:rPr>
          <w:highlight w:val="none"/>
        </w:rPr>
        <w:t>发布公告的媒介</w:t>
      </w:r>
    </w:p>
    <w:p w14:paraId="559AB2EF">
      <w:pPr>
        <w:pStyle w:val="19"/>
        <w:widowControl/>
        <w:ind w:left="0" w:leftChars="0" w:firstLine="480" w:firstLineChars="200"/>
        <w:rPr>
          <w:highlight w:val="none"/>
          <w:u w:val="single"/>
        </w:rPr>
      </w:pPr>
      <w:r>
        <w:rPr>
          <w:highlight w:val="none"/>
        </w:rPr>
        <w:t>本次比选公告在</w:t>
      </w:r>
      <w:r>
        <w:rPr>
          <w:rStyle w:val="56"/>
          <w:b w:val="0"/>
          <w:highlight w:val="none"/>
        </w:rPr>
        <w:t>四川瑞华合纵实业有限公司官网（rhhz.scchuanrui.com）网站</w:t>
      </w:r>
      <w:r>
        <w:rPr>
          <w:highlight w:val="none"/>
        </w:rPr>
        <w:t>上发布。</w:t>
      </w:r>
    </w:p>
    <w:p w14:paraId="2DC6BA07">
      <w:pPr>
        <w:pStyle w:val="2"/>
        <w:widowControl/>
        <w:numPr>
          <w:ilvl w:val="0"/>
          <w:numId w:val="4"/>
        </w:numPr>
        <w:tabs>
          <w:tab w:val="left" w:pos="840"/>
        </w:tabs>
        <w:topLinePunct w:val="0"/>
        <w:ind w:left="0" w:leftChars="0" w:firstLine="480" w:firstLineChars="200"/>
        <w:rPr>
          <w:b/>
          <w:highlight w:val="none"/>
        </w:rPr>
      </w:pPr>
      <w:r>
        <w:rPr>
          <w:highlight w:val="none"/>
        </w:rPr>
        <w:t>联系方式</w:t>
      </w:r>
    </w:p>
    <w:p w14:paraId="1618B4CD">
      <w:pPr>
        <w:pStyle w:val="19"/>
        <w:widowControl/>
        <w:ind w:left="0" w:leftChars="0" w:firstLine="480" w:firstLineChars="200"/>
        <w:rPr>
          <w:highlight w:val="none"/>
          <w:u w:val="single"/>
        </w:rPr>
      </w:pPr>
      <w:r>
        <w:rPr>
          <w:highlight w:val="none"/>
        </w:rPr>
        <w:t>比选人：四川瑞华合纵实业有限公司</w:t>
      </w:r>
    </w:p>
    <w:p w14:paraId="01F6A63C">
      <w:pPr>
        <w:pStyle w:val="19"/>
        <w:widowControl/>
        <w:ind w:left="0" w:leftChars="0" w:firstLine="480" w:firstLineChars="200"/>
        <w:rPr>
          <w:highlight w:val="none"/>
          <w:u w:val="single"/>
        </w:rPr>
      </w:pPr>
      <w:r>
        <w:rPr>
          <w:highlight w:val="none"/>
        </w:rPr>
        <w:t>地址：四川省成都市锦江区毕昇路468号创世纪广场A座34层</w:t>
      </w:r>
    </w:p>
    <w:p w14:paraId="5CEF5946">
      <w:pPr>
        <w:pStyle w:val="19"/>
        <w:widowControl/>
        <w:ind w:left="0" w:leftChars="0" w:firstLine="480" w:firstLineChars="200"/>
        <w:rPr>
          <w:rFonts w:hint="eastAsia" w:eastAsia="宋体"/>
          <w:highlight w:val="none"/>
          <w:lang w:eastAsia="zh-CN"/>
        </w:rPr>
      </w:pPr>
      <w:r>
        <w:rPr>
          <w:highlight w:val="none"/>
        </w:rPr>
        <w:t>联系人：李先生</w:t>
      </w:r>
      <w:r>
        <w:rPr>
          <w:rFonts w:hint="eastAsia"/>
          <w:highlight w:val="none"/>
          <w:lang w:eastAsia="zh-CN"/>
        </w:rPr>
        <w:t>（</w:t>
      </w:r>
      <w:r>
        <w:rPr>
          <w:highlight w:val="none"/>
        </w:rPr>
        <w:t>电话：1388050252</w:t>
      </w:r>
      <w:r>
        <w:rPr>
          <w:rFonts w:hint="eastAsia"/>
          <w:highlight w:val="none"/>
          <w:lang w:val="en-US" w:eastAsia="zh-CN"/>
        </w:rPr>
        <w:t>3；邮箱</w:t>
      </w:r>
      <w:r>
        <w:rPr>
          <w:highlight w:val="none"/>
        </w:rPr>
        <w:t>449589379@qq.com</w:t>
      </w:r>
      <w:r>
        <w:rPr>
          <w:rFonts w:hint="eastAsia"/>
          <w:highlight w:val="none"/>
          <w:lang w:eastAsia="zh-CN"/>
        </w:rPr>
        <w:t>）</w:t>
      </w:r>
    </w:p>
    <w:bookmarkEnd w:id="52"/>
    <w:p w14:paraId="5DE5A47D">
      <w:pPr>
        <w:spacing w:line="360" w:lineRule="auto"/>
        <w:ind w:left="485" w:leftChars="202"/>
        <w:rPr>
          <w:rFonts w:hint="eastAsia" w:ascii="宋体" w:hAnsi="宋体"/>
          <w:szCs w:val="21"/>
          <w:highlight w:val="none"/>
        </w:rPr>
      </w:pPr>
      <w:r>
        <w:rPr>
          <w:rFonts w:ascii="宋体" w:hAnsi="宋体"/>
          <w:szCs w:val="21"/>
          <w:highlight w:val="none"/>
        </w:rPr>
        <w:br w:type="page"/>
      </w:r>
    </w:p>
    <w:p w14:paraId="3693FC6E">
      <w:pPr>
        <w:pStyle w:val="300"/>
        <w:numPr>
          <w:ilvl w:val="0"/>
          <w:numId w:val="9"/>
        </w:numPr>
        <w:tabs>
          <w:tab w:val="left" w:pos="1600"/>
          <w:tab w:val="clear" w:pos="210"/>
        </w:tabs>
        <w:ind w:left="0" w:leftChars="0" w:firstLine="640" w:firstLineChars="200"/>
        <w:outlineLvl w:val="0"/>
        <w:rPr>
          <w:b w:val="0"/>
          <w:highlight w:val="none"/>
        </w:rPr>
      </w:pPr>
      <w:bookmarkStart w:id="67" w:name="_Toc177660915"/>
      <w:bookmarkStart w:id="68" w:name="_Toc231977609"/>
      <w:r>
        <w:rPr>
          <w:highlight w:val="none"/>
        </w:rPr>
        <w:t>比选申请人须知</w:t>
      </w:r>
      <w:bookmarkEnd w:id="53"/>
      <w:bookmarkEnd w:id="67"/>
      <w:bookmarkEnd w:id="68"/>
      <w:bookmarkStart w:id="69" w:name="_Toc231977610"/>
    </w:p>
    <w:p w14:paraId="5884CFC2">
      <w:pPr>
        <w:pStyle w:val="302"/>
        <w:ind w:left="0" w:leftChars="0" w:firstLine="0" w:firstLineChars="0"/>
        <w:outlineLvl w:val="0"/>
        <w:rPr>
          <w:highlight w:val="none"/>
        </w:rPr>
      </w:pPr>
      <w:bookmarkStart w:id="70" w:name="_Toc493516181"/>
      <w:bookmarkStart w:id="71" w:name="_Toc25073227"/>
      <w:bookmarkStart w:id="72" w:name="_Toc493515993"/>
      <w:bookmarkStart w:id="73" w:name="_Toc150512258"/>
      <w:bookmarkStart w:id="74" w:name="_Toc534192158"/>
      <w:bookmarkStart w:id="75" w:name="_Toc493516095"/>
      <w:bookmarkStart w:id="76" w:name="_Toc177660916"/>
      <w:bookmarkStart w:id="77" w:name="_Toc493515843"/>
      <w:r>
        <w:rPr>
          <w:highlight w:val="none"/>
        </w:rPr>
        <w:t>比选申请人须知前附表</w:t>
      </w:r>
      <w:bookmarkEnd w:id="69"/>
      <w:bookmarkEnd w:id="70"/>
      <w:bookmarkEnd w:id="71"/>
      <w:bookmarkEnd w:id="72"/>
      <w:bookmarkEnd w:id="73"/>
      <w:bookmarkEnd w:id="74"/>
      <w:bookmarkEnd w:id="75"/>
      <w:bookmarkEnd w:id="76"/>
      <w:bookmarkEnd w:id="77"/>
    </w:p>
    <w:tbl>
      <w:tblPr>
        <w:tblStyle w:val="53"/>
        <w:tblW w:w="8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609"/>
        <w:gridCol w:w="17"/>
        <w:gridCol w:w="6224"/>
      </w:tblGrid>
      <w:tr w14:paraId="69EC909F">
        <w:trPr>
          <w:trHeight w:val="611" w:hRule="atLeast"/>
          <w:jc w:val="center"/>
        </w:trPr>
        <w:tc>
          <w:tcPr>
            <w:tcW w:w="862" w:type="dxa"/>
            <w:noWrap w:val="0"/>
            <w:vAlign w:val="center"/>
          </w:tcPr>
          <w:p w14:paraId="678F43E0">
            <w:pPr>
              <w:spacing w:line="360" w:lineRule="auto"/>
              <w:jc w:val="center"/>
              <w:rPr>
                <w:rFonts w:hint="eastAsia" w:ascii="宋体" w:hAnsi="宋体"/>
                <w:b/>
                <w:sz w:val="21"/>
                <w:szCs w:val="21"/>
                <w:highlight w:val="none"/>
              </w:rPr>
            </w:pPr>
            <w:r>
              <w:rPr>
                <w:rFonts w:hint="eastAsia" w:ascii="宋体" w:hAnsi="宋体"/>
                <w:b/>
                <w:sz w:val="21"/>
                <w:szCs w:val="21"/>
                <w:highlight w:val="none"/>
              </w:rPr>
              <w:t>条款号</w:t>
            </w:r>
          </w:p>
        </w:tc>
        <w:tc>
          <w:tcPr>
            <w:tcW w:w="1609" w:type="dxa"/>
            <w:noWrap w:val="0"/>
            <w:vAlign w:val="center"/>
          </w:tcPr>
          <w:p w14:paraId="2D9C1345">
            <w:pPr>
              <w:spacing w:line="360" w:lineRule="auto"/>
              <w:jc w:val="center"/>
              <w:rPr>
                <w:rFonts w:hint="eastAsia" w:ascii="宋体" w:hAnsi="宋体"/>
                <w:b/>
                <w:sz w:val="21"/>
                <w:szCs w:val="21"/>
                <w:highlight w:val="none"/>
              </w:rPr>
            </w:pPr>
            <w:r>
              <w:rPr>
                <w:rFonts w:hint="eastAsia" w:ascii="宋体" w:hAnsi="宋体"/>
                <w:b/>
                <w:sz w:val="21"/>
                <w:szCs w:val="21"/>
                <w:highlight w:val="none"/>
              </w:rPr>
              <w:t>条款名称</w:t>
            </w:r>
          </w:p>
        </w:tc>
        <w:tc>
          <w:tcPr>
            <w:tcW w:w="6241" w:type="dxa"/>
            <w:gridSpan w:val="2"/>
            <w:noWrap w:val="0"/>
            <w:vAlign w:val="center"/>
          </w:tcPr>
          <w:p w14:paraId="472BCB1A">
            <w:pPr>
              <w:spacing w:line="360" w:lineRule="auto"/>
              <w:jc w:val="center"/>
              <w:rPr>
                <w:rFonts w:hint="eastAsia" w:ascii="宋体" w:hAnsi="宋体"/>
                <w:b/>
                <w:sz w:val="21"/>
                <w:szCs w:val="21"/>
                <w:highlight w:val="none"/>
              </w:rPr>
            </w:pPr>
            <w:r>
              <w:rPr>
                <w:rFonts w:hint="eastAsia" w:ascii="宋体" w:hAnsi="宋体"/>
                <w:b/>
                <w:sz w:val="21"/>
                <w:szCs w:val="21"/>
                <w:highlight w:val="none"/>
              </w:rPr>
              <w:t>编  列  内  容</w:t>
            </w:r>
          </w:p>
        </w:tc>
      </w:tr>
      <w:tr w14:paraId="248B8273">
        <w:trPr>
          <w:trHeight w:val="789" w:hRule="atLeast"/>
          <w:jc w:val="center"/>
        </w:trPr>
        <w:tc>
          <w:tcPr>
            <w:tcW w:w="862" w:type="dxa"/>
            <w:noWrap w:val="0"/>
            <w:vAlign w:val="center"/>
          </w:tcPr>
          <w:p w14:paraId="4B7ACD72">
            <w:pPr>
              <w:spacing w:line="360" w:lineRule="auto"/>
              <w:jc w:val="center"/>
              <w:rPr>
                <w:rFonts w:hint="eastAsia" w:ascii="宋体" w:hAnsi="宋体"/>
                <w:sz w:val="21"/>
                <w:szCs w:val="21"/>
                <w:highlight w:val="none"/>
              </w:rPr>
            </w:pPr>
            <w:r>
              <w:rPr>
                <w:rFonts w:hint="eastAsia" w:ascii="宋体" w:hAnsi="宋体"/>
                <w:sz w:val="21"/>
                <w:szCs w:val="21"/>
                <w:highlight w:val="none"/>
              </w:rPr>
              <w:t>1.1.2</w:t>
            </w:r>
          </w:p>
        </w:tc>
        <w:tc>
          <w:tcPr>
            <w:tcW w:w="1609" w:type="dxa"/>
            <w:noWrap w:val="0"/>
            <w:vAlign w:val="center"/>
          </w:tcPr>
          <w:p w14:paraId="1810762B">
            <w:pPr>
              <w:spacing w:line="360" w:lineRule="auto"/>
              <w:jc w:val="center"/>
              <w:rPr>
                <w:rFonts w:hint="eastAsia" w:ascii="宋体" w:hAnsi="宋体"/>
                <w:sz w:val="21"/>
                <w:szCs w:val="21"/>
                <w:highlight w:val="none"/>
              </w:rPr>
            </w:pPr>
            <w:r>
              <w:rPr>
                <w:rFonts w:hint="eastAsia" w:ascii="宋体" w:hAnsi="宋体"/>
                <w:sz w:val="21"/>
                <w:szCs w:val="21"/>
                <w:highlight w:val="none"/>
              </w:rPr>
              <w:t>比选人</w:t>
            </w:r>
          </w:p>
        </w:tc>
        <w:tc>
          <w:tcPr>
            <w:tcW w:w="6241" w:type="dxa"/>
            <w:gridSpan w:val="2"/>
            <w:noWrap w:val="0"/>
            <w:vAlign w:val="center"/>
          </w:tcPr>
          <w:p w14:paraId="5F9221C3">
            <w:pPr>
              <w:pStyle w:val="127"/>
              <w:spacing w:line="360" w:lineRule="auto"/>
              <w:ind w:right="-36"/>
              <w:jc w:val="both"/>
              <w:rPr>
                <w:rFonts w:hint="eastAsia" w:cs="宋体"/>
                <w:kern w:val="2"/>
                <w:sz w:val="21"/>
                <w:szCs w:val="21"/>
                <w:highlight w:val="none"/>
              </w:rPr>
            </w:pPr>
            <w:r>
              <w:rPr>
                <w:rFonts w:hint="eastAsia" w:cs="宋体"/>
                <w:kern w:val="2"/>
                <w:sz w:val="21"/>
                <w:szCs w:val="21"/>
                <w:highlight w:val="none"/>
              </w:rPr>
              <w:t>比选人：四川瑞华合纵实业有限公司</w:t>
            </w:r>
          </w:p>
          <w:p w14:paraId="70600C10">
            <w:pPr>
              <w:pStyle w:val="127"/>
              <w:spacing w:line="360" w:lineRule="auto"/>
              <w:ind w:right="-36"/>
              <w:jc w:val="both"/>
              <w:rPr>
                <w:rFonts w:hint="eastAsia" w:cs="宋体"/>
                <w:kern w:val="2"/>
                <w:sz w:val="21"/>
                <w:szCs w:val="21"/>
                <w:highlight w:val="none"/>
              </w:rPr>
            </w:pPr>
            <w:r>
              <w:rPr>
                <w:rFonts w:hint="eastAsia" w:cs="宋体"/>
                <w:kern w:val="2"/>
                <w:sz w:val="21"/>
                <w:szCs w:val="21"/>
                <w:highlight w:val="none"/>
              </w:rPr>
              <w:t>地址：四川省成都市锦江区毕昇路468号创世纪广场A座34层</w:t>
            </w:r>
          </w:p>
          <w:p w14:paraId="5A132AF5">
            <w:pPr>
              <w:pStyle w:val="127"/>
              <w:spacing w:line="360" w:lineRule="auto"/>
              <w:ind w:right="-36"/>
              <w:jc w:val="both"/>
              <w:rPr>
                <w:rFonts w:hint="eastAsia" w:cs="宋体"/>
                <w:kern w:val="2"/>
                <w:sz w:val="21"/>
                <w:szCs w:val="21"/>
                <w:highlight w:val="none"/>
              </w:rPr>
            </w:pPr>
            <w:r>
              <w:rPr>
                <w:rFonts w:hint="eastAsia" w:cs="宋体"/>
                <w:kern w:val="2"/>
                <w:sz w:val="21"/>
                <w:szCs w:val="21"/>
                <w:highlight w:val="none"/>
              </w:rPr>
              <w:t>联系人：李先生</w:t>
            </w:r>
          </w:p>
          <w:p w14:paraId="0FD4085C">
            <w:pPr>
              <w:pStyle w:val="127"/>
              <w:spacing w:line="360" w:lineRule="auto"/>
              <w:ind w:right="-36"/>
              <w:jc w:val="both"/>
              <w:rPr>
                <w:rFonts w:hint="eastAsia" w:cs="宋体"/>
                <w:kern w:val="2"/>
                <w:sz w:val="21"/>
                <w:szCs w:val="21"/>
                <w:highlight w:val="none"/>
              </w:rPr>
            </w:pPr>
            <w:r>
              <w:rPr>
                <w:rFonts w:hint="eastAsia" w:cs="宋体"/>
                <w:kern w:val="2"/>
                <w:sz w:val="21"/>
                <w:szCs w:val="21"/>
                <w:highlight w:val="none"/>
              </w:rPr>
              <w:t>电话：13880502523</w:t>
            </w:r>
          </w:p>
        </w:tc>
      </w:tr>
      <w:tr w14:paraId="1D6B95F3">
        <w:trPr>
          <w:trHeight w:val="789" w:hRule="atLeast"/>
          <w:jc w:val="center"/>
        </w:trPr>
        <w:tc>
          <w:tcPr>
            <w:tcW w:w="862" w:type="dxa"/>
            <w:noWrap w:val="0"/>
            <w:vAlign w:val="center"/>
          </w:tcPr>
          <w:p w14:paraId="72EADA3C">
            <w:pPr>
              <w:spacing w:line="360" w:lineRule="auto"/>
              <w:jc w:val="center"/>
              <w:rPr>
                <w:rFonts w:hint="eastAsia" w:ascii="宋体" w:hAnsi="宋体"/>
                <w:sz w:val="21"/>
                <w:szCs w:val="21"/>
                <w:highlight w:val="none"/>
              </w:rPr>
            </w:pPr>
            <w:r>
              <w:rPr>
                <w:rFonts w:hint="eastAsia" w:ascii="宋体" w:hAnsi="宋体"/>
                <w:sz w:val="21"/>
                <w:szCs w:val="21"/>
                <w:highlight w:val="none"/>
              </w:rPr>
              <w:t>1.1.3</w:t>
            </w:r>
          </w:p>
        </w:tc>
        <w:tc>
          <w:tcPr>
            <w:tcW w:w="1609" w:type="dxa"/>
            <w:noWrap w:val="0"/>
            <w:vAlign w:val="center"/>
          </w:tcPr>
          <w:p w14:paraId="020389B2">
            <w:pPr>
              <w:spacing w:line="360" w:lineRule="auto"/>
              <w:jc w:val="center"/>
              <w:rPr>
                <w:rFonts w:hint="eastAsia" w:ascii="宋体" w:hAnsi="宋体"/>
                <w:sz w:val="21"/>
                <w:szCs w:val="21"/>
                <w:highlight w:val="none"/>
              </w:rPr>
            </w:pPr>
            <w:r>
              <w:rPr>
                <w:rFonts w:hint="eastAsia" w:ascii="宋体" w:hAnsi="宋体"/>
                <w:sz w:val="21"/>
                <w:szCs w:val="21"/>
                <w:highlight w:val="none"/>
              </w:rPr>
              <w:t>比选代理机构</w:t>
            </w:r>
          </w:p>
        </w:tc>
        <w:tc>
          <w:tcPr>
            <w:tcW w:w="6241" w:type="dxa"/>
            <w:gridSpan w:val="2"/>
            <w:noWrap w:val="0"/>
            <w:vAlign w:val="center"/>
          </w:tcPr>
          <w:p w14:paraId="633D639C">
            <w:pPr>
              <w:pStyle w:val="127"/>
              <w:spacing w:line="360" w:lineRule="auto"/>
              <w:ind w:right="-36"/>
              <w:jc w:val="both"/>
              <w:rPr>
                <w:rFonts w:hint="eastAsia" w:eastAsia="宋体" w:cs="宋体"/>
                <w:kern w:val="2"/>
                <w:sz w:val="21"/>
                <w:szCs w:val="21"/>
                <w:highlight w:val="none"/>
                <w:lang w:eastAsia="zh-CN"/>
              </w:rPr>
            </w:pPr>
            <w:r>
              <w:rPr>
                <w:rFonts w:hint="eastAsia" w:cs="宋体"/>
                <w:kern w:val="2"/>
                <w:sz w:val="21"/>
                <w:szCs w:val="21"/>
                <w:highlight w:val="none"/>
                <w:lang w:val="en-US" w:eastAsia="zh-CN"/>
              </w:rPr>
              <w:t>/</w:t>
            </w:r>
          </w:p>
        </w:tc>
      </w:tr>
      <w:tr w14:paraId="07EFF0A6">
        <w:trPr>
          <w:trHeight w:val="803" w:hRule="atLeast"/>
          <w:jc w:val="center"/>
        </w:trPr>
        <w:tc>
          <w:tcPr>
            <w:tcW w:w="862" w:type="dxa"/>
            <w:noWrap w:val="0"/>
            <w:vAlign w:val="center"/>
          </w:tcPr>
          <w:p w14:paraId="02C60E2A">
            <w:pPr>
              <w:spacing w:line="360" w:lineRule="auto"/>
              <w:jc w:val="center"/>
              <w:rPr>
                <w:rFonts w:hint="eastAsia" w:ascii="宋体" w:hAnsi="宋体"/>
                <w:sz w:val="21"/>
                <w:szCs w:val="21"/>
                <w:highlight w:val="none"/>
              </w:rPr>
            </w:pPr>
            <w:r>
              <w:rPr>
                <w:rFonts w:hint="eastAsia" w:ascii="宋体" w:hAnsi="宋体"/>
                <w:sz w:val="21"/>
                <w:szCs w:val="21"/>
                <w:highlight w:val="none"/>
              </w:rPr>
              <w:t>1.1.4</w:t>
            </w:r>
          </w:p>
        </w:tc>
        <w:tc>
          <w:tcPr>
            <w:tcW w:w="1609" w:type="dxa"/>
            <w:noWrap w:val="0"/>
            <w:vAlign w:val="center"/>
          </w:tcPr>
          <w:p w14:paraId="71967970">
            <w:pPr>
              <w:spacing w:line="360" w:lineRule="auto"/>
              <w:jc w:val="center"/>
              <w:rPr>
                <w:rFonts w:hint="eastAsia" w:ascii="宋体" w:hAnsi="宋体"/>
                <w:sz w:val="21"/>
                <w:szCs w:val="21"/>
                <w:highlight w:val="none"/>
              </w:rPr>
            </w:pPr>
            <w:r>
              <w:rPr>
                <w:rFonts w:hint="eastAsia" w:ascii="宋体" w:hAnsi="宋体"/>
                <w:sz w:val="21"/>
                <w:szCs w:val="21"/>
                <w:highlight w:val="none"/>
              </w:rPr>
              <w:t>比选项目名称</w:t>
            </w:r>
          </w:p>
        </w:tc>
        <w:tc>
          <w:tcPr>
            <w:tcW w:w="6241" w:type="dxa"/>
            <w:gridSpan w:val="2"/>
            <w:noWrap w:val="0"/>
            <w:vAlign w:val="center"/>
          </w:tcPr>
          <w:p w14:paraId="0ABCD083">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lang w:eastAsia="zh-CN"/>
              </w:rPr>
              <w:t>四川瑞华合纵实业有限公司成品铟物流运输服务采购项目（第二次）</w:t>
            </w:r>
          </w:p>
        </w:tc>
      </w:tr>
      <w:tr w14:paraId="5BC98BF0">
        <w:trPr>
          <w:trHeight w:val="473" w:hRule="atLeast"/>
          <w:jc w:val="center"/>
        </w:trPr>
        <w:tc>
          <w:tcPr>
            <w:tcW w:w="862" w:type="dxa"/>
            <w:noWrap w:val="0"/>
            <w:vAlign w:val="center"/>
          </w:tcPr>
          <w:p w14:paraId="6D1BC2F2">
            <w:pPr>
              <w:spacing w:line="360" w:lineRule="auto"/>
              <w:jc w:val="center"/>
              <w:rPr>
                <w:rFonts w:hint="eastAsia" w:ascii="宋体" w:hAnsi="宋体"/>
                <w:sz w:val="21"/>
                <w:szCs w:val="21"/>
                <w:highlight w:val="none"/>
              </w:rPr>
            </w:pPr>
            <w:r>
              <w:rPr>
                <w:rFonts w:hint="eastAsia" w:ascii="宋体" w:hAnsi="宋体"/>
                <w:sz w:val="21"/>
                <w:szCs w:val="21"/>
                <w:highlight w:val="none"/>
              </w:rPr>
              <w:t>1.2.1</w:t>
            </w:r>
          </w:p>
        </w:tc>
        <w:tc>
          <w:tcPr>
            <w:tcW w:w="1609" w:type="dxa"/>
            <w:noWrap w:val="0"/>
            <w:vAlign w:val="center"/>
          </w:tcPr>
          <w:p w14:paraId="457E28A5">
            <w:pPr>
              <w:spacing w:line="360" w:lineRule="auto"/>
              <w:jc w:val="center"/>
              <w:rPr>
                <w:rFonts w:hint="eastAsia" w:ascii="宋体" w:hAnsi="宋体"/>
                <w:sz w:val="21"/>
                <w:szCs w:val="21"/>
                <w:highlight w:val="none"/>
              </w:rPr>
            </w:pPr>
            <w:r>
              <w:rPr>
                <w:rFonts w:hint="eastAsia" w:ascii="宋体" w:hAnsi="宋体"/>
                <w:sz w:val="21"/>
                <w:szCs w:val="21"/>
                <w:highlight w:val="none"/>
              </w:rPr>
              <w:t>资金来源及比例</w:t>
            </w:r>
          </w:p>
        </w:tc>
        <w:tc>
          <w:tcPr>
            <w:tcW w:w="6241" w:type="dxa"/>
            <w:gridSpan w:val="2"/>
            <w:noWrap w:val="0"/>
            <w:vAlign w:val="center"/>
          </w:tcPr>
          <w:p w14:paraId="188D92F8">
            <w:pPr>
              <w:spacing w:line="360" w:lineRule="auto"/>
              <w:rPr>
                <w:rFonts w:hint="eastAsia" w:ascii="宋体" w:hAnsi="宋体"/>
                <w:sz w:val="21"/>
                <w:szCs w:val="21"/>
                <w:highlight w:val="none"/>
              </w:rPr>
            </w:pPr>
            <w:r>
              <w:rPr>
                <w:rFonts w:hint="eastAsia" w:ascii="宋体" w:hAnsi="宋体"/>
                <w:sz w:val="21"/>
                <w:szCs w:val="21"/>
                <w:highlight w:val="none"/>
              </w:rPr>
              <w:t>业主自筹；100%</w:t>
            </w:r>
          </w:p>
        </w:tc>
      </w:tr>
      <w:tr w14:paraId="147A7AF4">
        <w:trPr>
          <w:trHeight w:val="538" w:hRule="atLeast"/>
          <w:jc w:val="center"/>
        </w:trPr>
        <w:tc>
          <w:tcPr>
            <w:tcW w:w="862" w:type="dxa"/>
            <w:noWrap w:val="0"/>
            <w:vAlign w:val="center"/>
          </w:tcPr>
          <w:p w14:paraId="326D5366">
            <w:pPr>
              <w:spacing w:line="360" w:lineRule="auto"/>
              <w:jc w:val="center"/>
              <w:rPr>
                <w:rFonts w:hint="eastAsia" w:ascii="宋体" w:hAnsi="宋体"/>
                <w:sz w:val="21"/>
                <w:szCs w:val="21"/>
                <w:highlight w:val="none"/>
              </w:rPr>
            </w:pPr>
            <w:r>
              <w:rPr>
                <w:rFonts w:hint="eastAsia" w:ascii="宋体" w:hAnsi="宋体"/>
                <w:sz w:val="21"/>
                <w:szCs w:val="21"/>
                <w:highlight w:val="none"/>
              </w:rPr>
              <w:t>1.2.2</w:t>
            </w:r>
          </w:p>
        </w:tc>
        <w:tc>
          <w:tcPr>
            <w:tcW w:w="1609" w:type="dxa"/>
            <w:noWrap w:val="0"/>
            <w:vAlign w:val="center"/>
          </w:tcPr>
          <w:p w14:paraId="38E3E3AB">
            <w:pPr>
              <w:spacing w:line="360" w:lineRule="auto"/>
              <w:jc w:val="center"/>
              <w:rPr>
                <w:rFonts w:hint="eastAsia" w:ascii="宋体" w:hAnsi="宋体"/>
                <w:sz w:val="21"/>
                <w:szCs w:val="21"/>
                <w:highlight w:val="none"/>
              </w:rPr>
            </w:pPr>
            <w:r>
              <w:rPr>
                <w:rFonts w:ascii="宋体" w:hAnsi="宋体"/>
                <w:sz w:val="21"/>
                <w:szCs w:val="21"/>
                <w:highlight w:val="none"/>
              </w:rPr>
              <w:t>资金落实情况</w:t>
            </w:r>
          </w:p>
        </w:tc>
        <w:tc>
          <w:tcPr>
            <w:tcW w:w="6241" w:type="dxa"/>
            <w:gridSpan w:val="2"/>
            <w:noWrap w:val="0"/>
            <w:vAlign w:val="center"/>
          </w:tcPr>
          <w:p w14:paraId="06841CE2">
            <w:pPr>
              <w:spacing w:line="360" w:lineRule="auto"/>
              <w:rPr>
                <w:rFonts w:hint="eastAsia" w:ascii="宋体" w:hAnsi="宋体"/>
                <w:sz w:val="21"/>
                <w:szCs w:val="21"/>
                <w:highlight w:val="none"/>
              </w:rPr>
            </w:pPr>
            <w:r>
              <w:rPr>
                <w:rFonts w:hint="eastAsia" w:ascii="宋体" w:hAnsi="宋体"/>
                <w:sz w:val="21"/>
                <w:szCs w:val="21"/>
                <w:highlight w:val="none"/>
              </w:rPr>
              <w:t>已落实</w:t>
            </w:r>
          </w:p>
        </w:tc>
      </w:tr>
      <w:tr w14:paraId="77759EFA">
        <w:trPr>
          <w:trHeight w:val="987" w:hRule="atLeast"/>
          <w:jc w:val="center"/>
        </w:trPr>
        <w:tc>
          <w:tcPr>
            <w:tcW w:w="862" w:type="dxa"/>
            <w:noWrap w:val="0"/>
            <w:vAlign w:val="center"/>
          </w:tcPr>
          <w:p w14:paraId="27A26AA0">
            <w:pPr>
              <w:spacing w:line="360" w:lineRule="auto"/>
              <w:jc w:val="center"/>
              <w:rPr>
                <w:rFonts w:hint="eastAsia" w:ascii="宋体" w:hAnsi="宋体"/>
                <w:b/>
                <w:sz w:val="21"/>
                <w:szCs w:val="21"/>
                <w:highlight w:val="none"/>
              </w:rPr>
            </w:pPr>
            <w:r>
              <w:rPr>
                <w:rFonts w:hint="eastAsia" w:ascii="宋体" w:hAnsi="宋体"/>
                <w:b/>
                <w:sz w:val="21"/>
                <w:szCs w:val="21"/>
                <w:highlight w:val="none"/>
              </w:rPr>
              <w:t>1.3.1</w:t>
            </w:r>
          </w:p>
        </w:tc>
        <w:tc>
          <w:tcPr>
            <w:tcW w:w="1609" w:type="dxa"/>
            <w:noWrap w:val="0"/>
            <w:vAlign w:val="center"/>
          </w:tcPr>
          <w:p w14:paraId="30462354">
            <w:pPr>
              <w:spacing w:line="360" w:lineRule="auto"/>
              <w:jc w:val="center"/>
              <w:rPr>
                <w:rFonts w:hint="eastAsia" w:ascii="宋体" w:hAnsi="宋体"/>
                <w:b/>
                <w:sz w:val="21"/>
                <w:szCs w:val="21"/>
                <w:highlight w:val="none"/>
              </w:rPr>
            </w:pPr>
            <w:r>
              <w:rPr>
                <w:rFonts w:hint="eastAsia" w:ascii="宋体" w:hAnsi="宋体"/>
                <w:b/>
                <w:sz w:val="21"/>
                <w:szCs w:val="21"/>
                <w:highlight w:val="none"/>
              </w:rPr>
              <w:t>比选范围</w:t>
            </w:r>
          </w:p>
        </w:tc>
        <w:tc>
          <w:tcPr>
            <w:tcW w:w="6241" w:type="dxa"/>
            <w:gridSpan w:val="2"/>
            <w:noWrap w:val="0"/>
            <w:vAlign w:val="center"/>
          </w:tcPr>
          <w:p w14:paraId="3946B284">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拟通过公开</w:t>
            </w:r>
            <w:r>
              <w:rPr>
                <w:rFonts w:hint="eastAsia" w:ascii="宋体" w:hAnsi="宋体"/>
                <w:sz w:val="21"/>
                <w:szCs w:val="21"/>
                <w:highlight w:val="none"/>
                <w:lang w:eastAsia="zh-CN"/>
              </w:rPr>
              <w:t>比选</w:t>
            </w:r>
            <w:r>
              <w:rPr>
                <w:rFonts w:hint="eastAsia" w:ascii="宋体" w:hAnsi="宋体"/>
                <w:sz w:val="21"/>
                <w:szCs w:val="21"/>
                <w:highlight w:val="none"/>
              </w:rPr>
              <w:t>选聘运输服务单位提供</w:t>
            </w:r>
            <w:r>
              <w:rPr>
                <w:rFonts w:hint="eastAsia" w:ascii="宋体" w:hAnsi="宋体"/>
                <w:sz w:val="21"/>
                <w:szCs w:val="21"/>
                <w:highlight w:val="none"/>
                <w:lang w:eastAsia="zh-CN"/>
              </w:rPr>
              <w:t>成品铟</w:t>
            </w:r>
            <w:r>
              <w:rPr>
                <w:rFonts w:hint="eastAsia" w:ascii="宋体" w:hAnsi="宋体"/>
                <w:sz w:val="21"/>
                <w:szCs w:val="21"/>
                <w:highlight w:val="none"/>
              </w:rPr>
              <w:t>运输服务，</w:t>
            </w:r>
            <w:r>
              <w:rPr>
                <w:rFonts w:hint="eastAsia" w:ascii="宋体" w:hAnsi="宋体"/>
                <w:sz w:val="21"/>
                <w:szCs w:val="21"/>
                <w:highlight w:val="none"/>
                <w:lang w:eastAsia="zh-CN"/>
              </w:rPr>
              <w:t>供应商</w:t>
            </w:r>
            <w:r>
              <w:rPr>
                <w:rFonts w:hint="eastAsia" w:ascii="宋体" w:hAnsi="宋体"/>
                <w:sz w:val="21"/>
                <w:szCs w:val="21"/>
                <w:highlight w:val="none"/>
              </w:rPr>
              <w:t>须按</w:t>
            </w:r>
            <w:r>
              <w:rPr>
                <w:rFonts w:hint="eastAsia" w:ascii="宋体" w:hAnsi="宋体"/>
                <w:sz w:val="21"/>
                <w:szCs w:val="21"/>
                <w:highlight w:val="none"/>
                <w:lang w:eastAsia="zh-CN"/>
              </w:rPr>
              <w:t>比选人</w:t>
            </w:r>
            <w:r>
              <w:rPr>
                <w:rFonts w:hint="eastAsia" w:ascii="宋体" w:hAnsi="宋体"/>
                <w:sz w:val="21"/>
                <w:szCs w:val="21"/>
                <w:highlight w:val="none"/>
              </w:rPr>
              <w:t>要求投保足额货物运输保险，受益人为</w:t>
            </w:r>
            <w:r>
              <w:rPr>
                <w:rFonts w:hint="eastAsia" w:ascii="宋体" w:hAnsi="宋体"/>
                <w:sz w:val="21"/>
                <w:szCs w:val="21"/>
                <w:highlight w:val="none"/>
                <w:lang w:eastAsia="zh-CN"/>
              </w:rPr>
              <w:t>比选人</w:t>
            </w:r>
            <w:r>
              <w:rPr>
                <w:rFonts w:hint="eastAsia" w:ascii="宋体" w:hAnsi="宋体"/>
                <w:sz w:val="21"/>
                <w:szCs w:val="21"/>
                <w:highlight w:val="none"/>
              </w:rPr>
              <w:t>。鉴于货物特殊性，保险条款包含高免赔约定的，一旦发生货损事故，</w:t>
            </w:r>
            <w:r>
              <w:rPr>
                <w:rFonts w:hint="eastAsia" w:ascii="宋体" w:hAnsi="宋体"/>
                <w:sz w:val="21"/>
                <w:szCs w:val="21"/>
                <w:highlight w:val="none"/>
                <w:lang w:eastAsia="zh-CN"/>
              </w:rPr>
              <w:t>供应商</w:t>
            </w:r>
            <w:r>
              <w:rPr>
                <w:rFonts w:hint="eastAsia" w:ascii="宋体" w:hAnsi="宋体"/>
                <w:sz w:val="21"/>
                <w:szCs w:val="21"/>
                <w:highlight w:val="none"/>
              </w:rPr>
              <w:t>须承担无条件全额赔偿责任，即：在保险公司赔付完毕后，所有剩余损失（含免赔额、拒赔部分及保险公司核损差额）均由</w:t>
            </w:r>
            <w:r>
              <w:rPr>
                <w:rFonts w:hint="eastAsia" w:ascii="宋体" w:hAnsi="宋体"/>
                <w:sz w:val="21"/>
                <w:szCs w:val="21"/>
                <w:highlight w:val="none"/>
                <w:lang w:eastAsia="zh-CN"/>
              </w:rPr>
              <w:t>供应商</w:t>
            </w:r>
            <w:r>
              <w:rPr>
                <w:rFonts w:hint="eastAsia" w:ascii="宋体" w:hAnsi="宋体"/>
                <w:sz w:val="21"/>
                <w:szCs w:val="21"/>
                <w:highlight w:val="none"/>
              </w:rPr>
              <w:t>承担，直至弥补</w:t>
            </w:r>
            <w:r>
              <w:rPr>
                <w:rFonts w:hint="eastAsia" w:ascii="宋体" w:hAnsi="宋体"/>
                <w:sz w:val="21"/>
                <w:szCs w:val="21"/>
                <w:highlight w:val="none"/>
                <w:lang w:eastAsia="zh-CN"/>
              </w:rPr>
              <w:t>比选人</w:t>
            </w:r>
            <w:r>
              <w:rPr>
                <w:rFonts w:hint="eastAsia" w:ascii="宋体" w:hAnsi="宋体"/>
                <w:sz w:val="21"/>
                <w:szCs w:val="21"/>
                <w:highlight w:val="none"/>
              </w:rPr>
              <w:t>全部货物价值损失为止，</w:t>
            </w:r>
            <w:r>
              <w:rPr>
                <w:rFonts w:hint="eastAsia" w:ascii="宋体" w:hAnsi="宋体"/>
                <w:sz w:val="21"/>
                <w:szCs w:val="21"/>
                <w:highlight w:val="none"/>
                <w:lang w:eastAsia="zh-CN"/>
              </w:rPr>
              <w:t>供应商不</w:t>
            </w:r>
            <w:r>
              <w:rPr>
                <w:rFonts w:hint="eastAsia" w:ascii="宋体" w:hAnsi="宋体"/>
                <w:sz w:val="21"/>
                <w:szCs w:val="21"/>
                <w:highlight w:val="none"/>
              </w:rPr>
              <w:t>得以任何理由主张减免。</w:t>
            </w:r>
            <w:r>
              <w:rPr>
                <w:rFonts w:hint="eastAsia" w:ascii="宋体" w:hAnsi="宋体"/>
                <w:sz w:val="21"/>
                <w:szCs w:val="21"/>
                <w:highlight w:val="none"/>
                <w:lang w:eastAsia="zh-CN"/>
              </w:rPr>
              <w:t>其他</w:t>
            </w:r>
            <w:r>
              <w:rPr>
                <w:rFonts w:hint="eastAsia" w:ascii="宋体" w:hAnsi="宋体"/>
                <w:sz w:val="21"/>
                <w:szCs w:val="21"/>
                <w:highlight w:val="none"/>
              </w:rPr>
              <w:t>具体内容详见“比选文件第五章比选人要求”。</w:t>
            </w:r>
          </w:p>
        </w:tc>
      </w:tr>
      <w:tr w14:paraId="34285C9A">
        <w:trPr>
          <w:trHeight w:val="525" w:hRule="atLeast"/>
          <w:jc w:val="center"/>
        </w:trPr>
        <w:tc>
          <w:tcPr>
            <w:tcW w:w="862" w:type="dxa"/>
            <w:noWrap w:val="0"/>
            <w:vAlign w:val="center"/>
          </w:tcPr>
          <w:p w14:paraId="46C7F840">
            <w:pPr>
              <w:spacing w:line="360" w:lineRule="auto"/>
              <w:jc w:val="center"/>
              <w:rPr>
                <w:rFonts w:hint="eastAsia" w:ascii="宋体" w:hAnsi="宋体"/>
                <w:b/>
                <w:sz w:val="21"/>
                <w:szCs w:val="21"/>
                <w:highlight w:val="none"/>
              </w:rPr>
            </w:pPr>
            <w:r>
              <w:rPr>
                <w:rFonts w:hint="eastAsia" w:ascii="宋体" w:hAnsi="宋体"/>
                <w:b/>
                <w:sz w:val="21"/>
                <w:szCs w:val="21"/>
                <w:highlight w:val="none"/>
              </w:rPr>
              <w:t>1.3.2</w:t>
            </w:r>
          </w:p>
        </w:tc>
        <w:tc>
          <w:tcPr>
            <w:tcW w:w="1609" w:type="dxa"/>
            <w:noWrap w:val="0"/>
            <w:vAlign w:val="center"/>
          </w:tcPr>
          <w:p w14:paraId="5A6AB942">
            <w:pPr>
              <w:spacing w:line="360" w:lineRule="auto"/>
              <w:jc w:val="center"/>
              <w:rPr>
                <w:rFonts w:hint="eastAsia" w:ascii="宋体" w:hAnsi="宋体"/>
                <w:b/>
                <w:sz w:val="21"/>
                <w:szCs w:val="21"/>
                <w:highlight w:val="none"/>
              </w:rPr>
            </w:pPr>
            <w:r>
              <w:rPr>
                <w:rFonts w:hint="eastAsia" w:ascii="宋体" w:hAnsi="宋体"/>
                <w:b/>
                <w:sz w:val="21"/>
                <w:szCs w:val="21"/>
                <w:highlight w:val="none"/>
              </w:rPr>
              <w:t>服务期限</w:t>
            </w:r>
          </w:p>
        </w:tc>
        <w:tc>
          <w:tcPr>
            <w:tcW w:w="6241" w:type="dxa"/>
            <w:gridSpan w:val="2"/>
            <w:noWrap w:val="0"/>
            <w:vAlign w:val="center"/>
          </w:tcPr>
          <w:p w14:paraId="6344B526">
            <w:pPr>
              <w:spacing w:line="360" w:lineRule="auto"/>
              <w:rPr>
                <w:rFonts w:hint="eastAsia" w:ascii="宋体" w:hAnsi="宋体"/>
                <w:sz w:val="21"/>
                <w:szCs w:val="21"/>
                <w:highlight w:val="none"/>
              </w:rPr>
            </w:pPr>
            <w:r>
              <w:rPr>
                <w:rFonts w:hint="eastAsia" w:ascii="宋体" w:hAnsi="宋体"/>
                <w:sz w:val="21"/>
                <w:szCs w:val="21"/>
                <w:highlight w:val="none"/>
                <w:lang w:eastAsia="zh-CN"/>
              </w:rPr>
              <w:t>自合同签订之日起</w:t>
            </w:r>
            <w:r>
              <w:rPr>
                <w:rFonts w:hint="eastAsia" w:ascii="宋体" w:hAnsi="宋体"/>
                <w:sz w:val="21"/>
                <w:szCs w:val="21"/>
                <w:highlight w:val="none"/>
                <w:lang w:val="en-US" w:eastAsia="zh-CN"/>
              </w:rPr>
              <w:t>1</w:t>
            </w:r>
            <w:r>
              <w:rPr>
                <w:rFonts w:hint="eastAsia" w:ascii="宋体" w:hAnsi="宋体"/>
                <w:sz w:val="21"/>
                <w:szCs w:val="21"/>
                <w:highlight w:val="none"/>
                <w:lang w:eastAsia="zh-CN"/>
              </w:rPr>
              <w:t>年</w:t>
            </w:r>
            <w:r>
              <w:rPr>
                <w:rFonts w:hint="eastAsia" w:ascii="宋体" w:hAnsi="宋体"/>
                <w:sz w:val="21"/>
                <w:szCs w:val="21"/>
                <w:highlight w:val="none"/>
              </w:rPr>
              <w:t>。</w:t>
            </w:r>
          </w:p>
        </w:tc>
      </w:tr>
      <w:tr w14:paraId="2030B96F">
        <w:trPr>
          <w:trHeight w:val="525" w:hRule="atLeast"/>
          <w:jc w:val="center"/>
        </w:trPr>
        <w:tc>
          <w:tcPr>
            <w:tcW w:w="862" w:type="dxa"/>
            <w:noWrap w:val="0"/>
            <w:vAlign w:val="center"/>
          </w:tcPr>
          <w:p w14:paraId="2D0DD471">
            <w:pPr>
              <w:spacing w:line="360" w:lineRule="auto"/>
              <w:jc w:val="center"/>
              <w:rPr>
                <w:rFonts w:hint="eastAsia" w:ascii="宋体" w:hAnsi="宋体"/>
                <w:b/>
                <w:sz w:val="21"/>
                <w:szCs w:val="21"/>
                <w:highlight w:val="none"/>
              </w:rPr>
            </w:pPr>
            <w:r>
              <w:rPr>
                <w:rFonts w:hint="eastAsia" w:ascii="宋体" w:hAnsi="宋体"/>
                <w:b/>
                <w:sz w:val="21"/>
                <w:szCs w:val="21"/>
                <w:highlight w:val="none"/>
              </w:rPr>
              <w:t>1.3.3</w:t>
            </w:r>
          </w:p>
        </w:tc>
        <w:tc>
          <w:tcPr>
            <w:tcW w:w="1609" w:type="dxa"/>
            <w:noWrap w:val="0"/>
            <w:vAlign w:val="center"/>
          </w:tcPr>
          <w:p w14:paraId="4571841F">
            <w:pPr>
              <w:spacing w:line="360" w:lineRule="auto"/>
              <w:jc w:val="center"/>
              <w:rPr>
                <w:rFonts w:hint="eastAsia" w:ascii="宋体" w:hAnsi="宋体"/>
                <w:b/>
                <w:sz w:val="21"/>
                <w:szCs w:val="21"/>
                <w:highlight w:val="none"/>
              </w:rPr>
            </w:pPr>
            <w:r>
              <w:rPr>
                <w:rFonts w:hint="eastAsia" w:ascii="宋体" w:hAnsi="宋体"/>
                <w:b/>
                <w:sz w:val="21"/>
                <w:szCs w:val="21"/>
                <w:highlight w:val="none"/>
              </w:rPr>
              <w:t>质量要求</w:t>
            </w:r>
          </w:p>
        </w:tc>
        <w:tc>
          <w:tcPr>
            <w:tcW w:w="6241" w:type="dxa"/>
            <w:gridSpan w:val="2"/>
            <w:noWrap w:val="0"/>
            <w:vAlign w:val="center"/>
          </w:tcPr>
          <w:p w14:paraId="12254180">
            <w:pPr>
              <w:spacing w:line="360" w:lineRule="auto"/>
              <w:rPr>
                <w:rFonts w:hint="eastAsia" w:ascii="宋体" w:hAnsi="宋体"/>
                <w:sz w:val="21"/>
                <w:szCs w:val="21"/>
                <w:highlight w:val="none"/>
              </w:rPr>
            </w:pPr>
            <w:r>
              <w:rPr>
                <w:rFonts w:hint="eastAsia" w:ascii="宋体" w:hAnsi="宋体"/>
                <w:sz w:val="21"/>
                <w:szCs w:val="21"/>
                <w:highlight w:val="none"/>
              </w:rPr>
              <w:t>满足比选人要求</w:t>
            </w:r>
          </w:p>
        </w:tc>
      </w:tr>
      <w:tr w14:paraId="69A1C005">
        <w:trPr>
          <w:trHeight w:val="387" w:hRule="atLeast"/>
          <w:jc w:val="center"/>
        </w:trPr>
        <w:tc>
          <w:tcPr>
            <w:tcW w:w="862" w:type="dxa"/>
            <w:noWrap w:val="0"/>
            <w:vAlign w:val="center"/>
          </w:tcPr>
          <w:p w14:paraId="7A4C02D7">
            <w:pPr>
              <w:spacing w:line="360" w:lineRule="auto"/>
              <w:jc w:val="center"/>
              <w:rPr>
                <w:rFonts w:hint="eastAsia" w:ascii="宋体" w:hAnsi="宋体"/>
                <w:b/>
                <w:sz w:val="21"/>
                <w:szCs w:val="21"/>
                <w:highlight w:val="none"/>
              </w:rPr>
            </w:pPr>
            <w:r>
              <w:rPr>
                <w:rFonts w:hint="eastAsia" w:ascii="宋体" w:hAnsi="宋体"/>
                <w:b/>
                <w:sz w:val="21"/>
                <w:szCs w:val="21"/>
                <w:highlight w:val="none"/>
              </w:rPr>
              <w:t>1.4.1</w:t>
            </w:r>
          </w:p>
        </w:tc>
        <w:tc>
          <w:tcPr>
            <w:tcW w:w="1609" w:type="dxa"/>
            <w:noWrap w:val="0"/>
            <w:vAlign w:val="center"/>
          </w:tcPr>
          <w:p w14:paraId="03AEC11C">
            <w:pPr>
              <w:spacing w:line="360" w:lineRule="auto"/>
              <w:jc w:val="center"/>
              <w:rPr>
                <w:rFonts w:hint="eastAsia" w:ascii="宋体" w:hAnsi="宋体"/>
                <w:b/>
                <w:sz w:val="21"/>
                <w:szCs w:val="21"/>
                <w:highlight w:val="none"/>
              </w:rPr>
            </w:pPr>
            <w:r>
              <w:rPr>
                <w:rFonts w:hint="eastAsia" w:ascii="宋体" w:hAnsi="宋体"/>
                <w:b/>
                <w:sz w:val="21"/>
                <w:szCs w:val="21"/>
                <w:highlight w:val="none"/>
              </w:rPr>
              <w:t>比选申请人资质条件、能力和信誉</w:t>
            </w:r>
          </w:p>
        </w:tc>
        <w:tc>
          <w:tcPr>
            <w:tcW w:w="6241" w:type="dxa"/>
            <w:gridSpan w:val="2"/>
            <w:noWrap w:val="0"/>
            <w:vAlign w:val="center"/>
          </w:tcPr>
          <w:p w14:paraId="00C3DD33">
            <w:pPr>
              <w:spacing w:line="360" w:lineRule="auto"/>
              <w:rPr>
                <w:rFonts w:ascii="宋体" w:hAnsi="宋体"/>
                <w:sz w:val="21"/>
                <w:szCs w:val="21"/>
                <w:highlight w:val="none"/>
              </w:rPr>
            </w:pPr>
            <w:r>
              <w:rPr>
                <w:rFonts w:hint="eastAsia" w:ascii="宋体" w:hAnsi="宋体"/>
                <w:sz w:val="21"/>
                <w:szCs w:val="21"/>
                <w:highlight w:val="none"/>
              </w:rPr>
              <w:t>1、具有独立承担民事责任的能力；</w:t>
            </w:r>
          </w:p>
          <w:p w14:paraId="3454601E">
            <w:pPr>
              <w:spacing w:line="360" w:lineRule="auto"/>
              <w:rPr>
                <w:rFonts w:ascii="宋体" w:hAnsi="宋体"/>
                <w:sz w:val="21"/>
                <w:szCs w:val="21"/>
                <w:highlight w:val="none"/>
              </w:rPr>
            </w:pPr>
            <w:r>
              <w:rPr>
                <w:rFonts w:hint="eastAsia" w:ascii="宋体" w:hAnsi="宋体"/>
                <w:sz w:val="21"/>
                <w:szCs w:val="21"/>
                <w:highlight w:val="none"/>
              </w:rPr>
              <w:t>2、具有良好的商业信誉和健全的财务会计制度；</w:t>
            </w:r>
          </w:p>
          <w:p w14:paraId="5043694C">
            <w:pPr>
              <w:spacing w:line="360" w:lineRule="auto"/>
              <w:rPr>
                <w:rFonts w:ascii="宋体" w:hAnsi="宋体"/>
                <w:sz w:val="21"/>
                <w:szCs w:val="21"/>
                <w:highlight w:val="none"/>
              </w:rPr>
            </w:pPr>
            <w:r>
              <w:rPr>
                <w:rFonts w:hint="eastAsia" w:ascii="宋体" w:hAnsi="宋体"/>
                <w:sz w:val="21"/>
                <w:szCs w:val="21"/>
                <w:highlight w:val="none"/>
              </w:rPr>
              <w:t>3、具有履行合同所必须的设备和专业技术能力；</w:t>
            </w:r>
          </w:p>
          <w:p w14:paraId="5C2619E9">
            <w:pPr>
              <w:spacing w:line="360" w:lineRule="auto"/>
              <w:rPr>
                <w:rFonts w:ascii="宋体" w:hAnsi="宋体"/>
                <w:sz w:val="21"/>
                <w:szCs w:val="21"/>
                <w:highlight w:val="none"/>
              </w:rPr>
            </w:pPr>
            <w:r>
              <w:rPr>
                <w:rFonts w:hint="eastAsia" w:ascii="宋体" w:hAnsi="宋体"/>
                <w:sz w:val="21"/>
                <w:szCs w:val="21"/>
                <w:highlight w:val="none"/>
              </w:rPr>
              <w:t>4、具有依法缴纳税收和社会保障资金的良好记录；</w:t>
            </w:r>
          </w:p>
          <w:p w14:paraId="2878ABC3">
            <w:pPr>
              <w:spacing w:line="360" w:lineRule="auto"/>
              <w:rPr>
                <w:rFonts w:hint="eastAsia" w:ascii="宋体" w:hAnsi="宋体"/>
                <w:sz w:val="21"/>
                <w:szCs w:val="21"/>
                <w:highlight w:val="none"/>
              </w:rPr>
            </w:pPr>
            <w:r>
              <w:rPr>
                <w:rFonts w:hint="eastAsia" w:ascii="宋体" w:hAnsi="宋体"/>
                <w:sz w:val="21"/>
                <w:szCs w:val="21"/>
                <w:highlight w:val="none"/>
              </w:rPr>
              <w:t>5、参加本次比选活动前三年内，在经营活动中没有重大违法违规记录；</w:t>
            </w:r>
          </w:p>
          <w:p w14:paraId="7BA72666">
            <w:pPr>
              <w:spacing w:line="360" w:lineRule="auto"/>
              <w:rPr>
                <w:rFonts w:hint="eastAsia" w:ascii="宋体" w:hAnsi="宋体"/>
                <w:sz w:val="21"/>
                <w:szCs w:val="21"/>
                <w:highlight w:val="none"/>
              </w:rPr>
            </w:pPr>
            <w:r>
              <w:rPr>
                <w:rFonts w:hint="eastAsia" w:ascii="宋体" w:hAnsi="宋体"/>
                <w:sz w:val="21"/>
                <w:szCs w:val="21"/>
                <w:highlight w:val="none"/>
              </w:rPr>
              <w:t>6、本项目的特定资格要求：</w:t>
            </w:r>
            <w:r>
              <w:rPr>
                <w:rFonts w:hint="eastAsia" w:ascii="宋体" w:hAnsi="宋体"/>
                <w:sz w:val="21"/>
                <w:szCs w:val="21"/>
                <w:highlight w:val="none"/>
                <w:u w:val="single"/>
              </w:rPr>
              <w:t>具有有效的道路运输经营许可证</w:t>
            </w:r>
            <w:r>
              <w:rPr>
                <w:rFonts w:hint="eastAsia" w:ascii="宋体" w:hAnsi="宋体"/>
                <w:sz w:val="21"/>
                <w:szCs w:val="21"/>
                <w:highlight w:val="none"/>
                <w:u w:val="single"/>
                <w:lang w:eastAsia="zh-CN"/>
              </w:rPr>
              <w:t>；</w:t>
            </w:r>
            <w:r>
              <w:rPr>
                <w:rFonts w:hint="eastAsia" w:ascii="宋体" w:hAnsi="宋体"/>
                <w:sz w:val="21"/>
                <w:szCs w:val="21"/>
                <w:highlight w:val="none"/>
                <w:u w:val="single"/>
                <w:lang w:val="en-US" w:eastAsia="zh-CN"/>
              </w:rPr>
              <w:t>2025年1月1日以来具有三个类似业绩，类似业绩是指</w:t>
            </w:r>
            <w:r>
              <w:rPr>
                <w:rFonts w:hint="eastAsia" w:ascii="宋体" w:hAnsi="宋体"/>
                <w:sz w:val="21"/>
                <w:szCs w:val="21"/>
                <w:highlight w:val="none"/>
                <w:u w:val="single"/>
                <w:lang w:eastAsia="zh-CN"/>
              </w:rPr>
              <w:t>运输服务业绩</w:t>
            </w:r>
            <w:r>
              <w:rPr>
                <w:rFonts w:hint="eastAsia" w:ascii="宋体" w:hAnsi="宋体"/>
                <w:sz w:val="21"/>
                <w:szCs w:val="21"/>
                <w:highlight w:val="none"/>
                <w:u w:val="single"/>
              </w:rPr>
              <w:t>。</w:t>
            </w:r>
          </w:p>
        </w:tc>
      </w:tr>
      <w:tr w14:paraId="5900922E">
        <w:trPr>
          <w:trHeight w:val="364" w:hRule="atLeast"/>
          <w:jc w:val="center"/>
        </w:trPr>
        <w:tc>
          <w:tcPr>
            <w:tcW w:w="862" w:type="dxa"/>
            <w:noWrap w:val="0"/>
            <w:vAlign w:val="center"/>
          </w:tcPr>
          <w:p w14:paraId="3CE30783">
            <w:pPr>
              <w:spacing w:line="360" w:lineRule="auto"/>
              <w:jc w:val="center"/>
              <w:rPr>
                <w:rFonts w:hint="eastAsia" w:ascii="宋体" w:hAnsi="宋体"/>
                <w:b/>
                <w:sz w:val="21"/>
                <w:szCs w:val="21"/>
                <w:highlight w:val="none"/>
              </w:rPr>
            </w:pPr>
            <w:r>
              <w:rPr>
                <w:rFonts w:hint="eastAsia" w:ascii="宋体" w:hAnsi="宋体"/>
                <w:b/>
                <w:sz w:val="21"/>
                <w:szCs w:val="21"/>
                <w:highlight w:val="none"/>
              </w:rPr>
              <w:t>1.4.2</w:t>
            </w:r>
          </w:p>
        </w:tc>
        <w:tc>
          <w:tcPr>
            <w:tcW w:w="1609" w:type="dxa"/>
            <w:noWrap w:val="0"/>
            <w:vAlign w:val="center"/>
          </w:tcPr>
          <w:p w14:paraId="73F33161">
            <w:pPr>
              <w:spacing w:line="360" w:lineRule="auto"/>
              <w:jc w:val="center"/>
              <w:rPr>
                <w:rFonts w:hint="eastAsia" w:ascii="宋体" w:hAnsi="宋体"/>
                <w:b/>
                <w:sz w:val="21"/>
                <w:szCs w:val="21"/>
                <w:highlight w:val="none"/>
              </w:rPr>
            </w:pPr>
            <w:r>
              <w:rPr>
                <w:rFonts w:hint="eastAsia" w:ascii="宋体" w:hAnsi="宋体"/>
                <w:b/>
                <w:sz w:val="21"/>
                <w:szCs w:val="21"/>
                <w:highlight w:val="none"/>
              </w:rPr>
              <w:t>是否接受联合体参选</w:t>
            </w:r>
          </w:p>
        </w:tc>
        <w:tc>
          <w:tcPr>
            <w:tcW w:w="6241" w:type="dxa"/>
            <w:gridSpan w:val="2"/>
            <w:noWrap w:val="0"/>
            <w:vAlign w:val="center"/>
          </w:tcPr>
          <w:p w14:paraId="09BC65DD">
            <w:pPr>
              <w:spacing w:line="360" w:lineRule="auto"/>
              <w:rPr>
                <w:rFonts w:hint="eastAsia" w:ascii="宋体" w:hAnsi="宋体"/>
                <w:sz w:val="21"/>
                <w:szCs w:val="21"/>
                <w:highlight w:val="none"/>
              </w:rPr>
            </w:pPr>
            <w:r>
              <w:rPr>
                <w:rFonts w:hint="eastAsia" w:ascii="宋体" w:hAnsi="宋体"/>
                <w:b/>
                <w:sz w:val="21"/>
                <w:szCs w:val="21"/>
                <w:highlight w:val="none"/>
              </w:rPr>
              <w:t>不接受</w:t>
            </w:r>
          </w:p>
        </w:tc>
      </w:tr>
      <w:tr w14:paraId="32AC8F0D">
        <w:trPr>
          <w:trHeight w:val="220" w:hRule="atLeast"/>
          <w:jc w:val="center"/>
        </w:trPr>
        <w:tc>
          <w:tcPr>
            <w:tcW w:w="862" w:type="dxa"/>
            <w:noWrap w:val="0"/>
            <w:vAlign w:val="center"/>
          </w:tcPr>
          <w:p w14:paraId="4BC5C6EA">
            <w:pPr>
              <w:spacing w:line="360" w:lineRule="auto"/>
              <w:jc w:val="center"/>
              <w:rPr>
                <w:rFonts w:hint="eastAsia" w:ascii="宋体" w:hAnsi="宋体"/>
                <w:sz w:val="21"/>
                <w:szCs w:val="21"/>
                <w:highlight w:val="none"/>
              </w:rPr>
            </w:pPr>
            <w:r>
              <w:rPr>
                <w:rFonts w:hint="eastAsia" w:ascii="宋体" w:hAnsi="宋体"/>
                <w:sz w:val="21"/>
                <w:szCs w:val="21"/>
                <w:highlight w:val="none"/>
              </w:rPr>
              <w:t>1.4.3</w:t>
            </w:r>
          </w:p>
        </w:tc>
        <w:tc>
          <w:tcPr>
            <w:tcW w:w="1609" w:type="dxa"/>
            <w:noWrap w:val="0"/>
            <w:vAlign w:val="center"/>
          </w:tcPr>
          <w:p w14:paraId="51A06EFA">
            <w:pPr>
              <w:spacing w:line="360" w:lineRule="auto"/>
              <w:jc w:val="center"/>
              <w:rPr>
                <w:rFonts w:hint="eastAsia" w:ascii="宋体" w:hAnsi="宋体"/>
                <w:sz w:val="21"/>
                <w:szCs w:val="21"/>
                <w:highlight w:val="none"/>
              </w:rPr>
            </w:pPr>
            <w:r>
              <w:rPr>
                <w:rFonts w:hint="eastAsia" w:ascii="宋体" w:hAnsi="宋体"/>
                <w:bCs/>
                <w:sz w:val="21"/>
                <w:szCs w:val="21"/>
                <w:highlight w:val="none"/>
              </w:rPr>
              <w:t>限制比选申请的情形</w:t>
            </w:r>
          </w:p>
        </w:tc>
        <w:tc>
          <w:tcPr>
            <w:tcW w:w="6241" w:type="dxa"/>
            <w:gridSpan w:val="2"/>
            <w:noWrap w:val="0"/>
            <w:vAlign w:val="center"/>
          </w:tcPr>
          <w:p w14:paraId="12051B5C">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（1）</w:t>
            </w:r>
            <w:r>
              <w:rPr>
                <w:rFonts w:ascii="宋体" w:hAnsi="宋体" w:cs="宋体"/>
                <w:bCs/>
                <w:sz w:val="21"/>
                <w:szCs w:val="21"/>
                <w:highlight w:val="none"/>
              </w:rPr>
              <w:t>为比选人不具有独立法人资格的附属机构（单位）</w:t>
            </w:r>
            <w:r>
              <w:rPr>
                <w:rFonts w:hint="eastAsia" w:ascii="宋体" w:hAnsi="宋体" w:cs="宋体"/>
                <w:bCs/>
                <w:sz w:val="21"/>
                <w:szCs w:val="21"/>
                <w:highlight w:val="none"/>
              </w:rPr>
              <w:t>；</w:t>
            </w:r>
          </w:p>
          <w:p w14:paraId="21517340">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（2）与比选人存在利害关系且可能影响比选公正性；</w:t>
            </w:r>
          </w:p>
          <w:p w14:paraId="58F89779">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（3）与本比选项目的其他比选申请人为同一个单位负责人； </w:t>
            </w:r>
          </w:p>
          <w:p w14:paraId="2BF9D943">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（4）与本比选项目的其他比选申请人存在控股、管理关系；</w:t>
            </w:r>
          </w:p>
          <w:p w14:paraId="016906F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（5）为本比选项目的比选代理机构；</w:t>
            </w:r>
          </w:p>
          <w:p w14:paraId="4E52C4A7">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（6）与本比选项目的比选代理机构同为一个法定代表人；</w:t>
            </w:r>
          </w:p>
          <w:p w14:paraId="7C57F14B">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（7）与本比选项目的比选代理机构存在控股或参股关系；</w:t>
            </w:r>
          </w:p>
          <w:p w14:paraId="0686B36B">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（8）被依法暂停或者取消比选（投标）资格； </w:t>
            </w:r>
          </w:p>
          <w:p w14:paraId="222C9D5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（9）被责令停产停业、暂扣或者吊销许可证、暂扣或者吊销执照； </w:t>
            </w:r>
          </w:p>
          <w:p w14:paraId="26C43616">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（10）进入清算程序，或被宣告破产，或其他丧失履约能力的情形</w:t>
            </w:r>
            <w:r>
              <w:rPr>
                <w:rFonts w:hint="eastAsia" w:ascii="宋体" w:hAnsi="宋体"/>
                <w:sz w:val="21"/>
                <w:szCs w:val="21"/>
                <w:highlight w:val="none"/>
              </w:rPr>
              <w:t>；</w:t>
            </w:r>
          </w:p>
          <w:p w14:paraId="1DC0805E">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（11）被市场监督管理机构在全国企业信用信息公示系统中列入严重违法失信企业名单； </w:t>
            </w:r>
          </w:p>
          <w:p w14:paraId="31302116">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 xml:space="preserve">（12）在“信用中国”网站（www.creditchina.gov.cn）或各级信用信息共享平台中列入信用公示黑名单； </w:t>
            </w:r>
          </w:p>
          <w:p w14:paraId="204F4E3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（13）在近三年内比选申请人或其法定代表人、拟委任的项目负责人有行贿犯罪行为的；</w:t>
            </w:r>
          </w:p>
          <w:p w14:paraId="549C9061">
            <w:pPr>
              <w:spacing w:line="360" w:lineRule="auto"/>
              <w:ind w:firstLine="420" w:firstLineChars="200"/>
              <w:rPr>
                <w:rFonts w:hint="eastAsia" w:ascii="宋体" w:hAnsi="宋体"/>
                <w:bCs/>
                <w:sz w:val="21"/>
                <w:szCs w:val="21"/>
                <w:highlight w:val="none"/>
              </w:rPr>
            </w:pPr>
            <w:r>
              <w:rPr>
                <w:rFonts w:hint="eastAsia" w:ascii="宋体" w:hAnsi="宋体"/>
                <w:bCs/>
                <w:sz w:val="21"/>
                <w:szCs w:val="21"/>
                <w:highlight w:val="none"/>
              </w:rPr>
              <w:t>（14）近3年内在比选（招投标）和合同履行过程中有违法行为并被司法机关认定为犯罪的；</w:t>
            </w:r>
          </w:p>
          <w:p w14:paraId="71567A81">
            <w:pPr>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（15）被最高人民法院列入失信被执行人名单的。</w:t>
            </w:r>
          </w:p>
        </w:tc>
      </w:tr>
      <w:tr w14:paraId="05B6B638">
        <w:trPr>
          <w:trHeight w:val="425" w:hRule="atLeast"/>
          <w:jc w:val="center"/>
        </w:trPr>
        <w:tc>
          <w:tcPr>
            <w:tcW w:w="862" w:type="dxa"/>
            <w:noWrap w:val="0"/>
            <w:vAlign w:val="center"/>
          </w:tcPr>
          <w:p w14:paraId="66BFD2B0">
            <w:pPr>
              <w:spacing w:line="360" w:lineRule="auto"/>
              <w:jc w:val="center"/>
              <w:rPr>
                <w:rFonts w:hint="eastAsia" w:ascii="宋体" w:hAnsi="宋体"/>
                <w:sz w:val="21"/>
                <w:szCs w:val="21"/>
                <w:highlight w:val="none"/>
              </w:rPr>
            </w:pPr>
            <w:r>
              <w:rPr>
                <w:rFonts w:hint="eastAsia" w:ascii="宋体" w:hAnsi="宋体"/>
                <w:sz w:val="21"/>
                <w:szCs w:val="21"/>
                <w:highlight w:val="none"/>
              </w:rPr>
              <w:t>1.9.1</w:t>
            </w:r>
          </w:p>
        </w:tc>
        <w:tc>
          <w:tcPr>
            <w:tcW w:w="1609" w:type="dxa"/>
            <w:noWrap w:val="0"/>
            <w:vAlign w:val="center"/>
          </w:tcPr>
          <w:p w14:paraId="7127B314">
            <w:pPr>
              <w:spacing w:line="360" w:lineRule="auto"/>
              <w:jc w:val="center"/>
              <w:rPr>
                <w:rFonts w:hint="eastAsia" w:ascii="宋体" w:hAnsi="宋体"/>
                <w:sz w:val="21"/>
                <w:szCs w:val="21"/>
                <w:highlight w:val="none"/>
              </w:rPr>
            </w:pPr>
            <w:r>
              <w:rPr>
                <w:rFonts w:hint="eastAsia" w:ascii="宋体" w:hAnsi="宋体"/>
                <w:sz w:val="21"/>
                <w:szCs w:val="21"/>
                <w:highlight w:val="none"/>
              </w:rPr>
              <w:t>踏勘现场</w:t>
            </w:r>
          </w:p>
        </w:tc>
        <w:tc>
          <w:tcPr>
            <w:tcW w:w="6241" w:type="dxa"/>
            <w:gridSpan w:val="2"/>
            <w:noWrap w:val="0"/>
            <w:vAlign w:val="center"/>
          </w:tcPr>
          <w:p w14:paraId="34765252">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不组织，由比选申请人自行踏勘，由此造成的一切后果由比选申请人自行承担</w:t>
            </w:r>
          </w:p>
        </w:tc>
      </w:tr>
      <w:tr w14:paraId="5B2DFC22">
        <w:trPr>
          <w:trHeight w:val="527" w:hRule="atLeast"/>
          <w:jc w:val="center"/>
        </w:trPr>
        <w:tc>
          <w:tcPr>
            <w:tcW w:w="862" w:type="dxa"/>
            <w:noWrap w:val="0"/>
            <w:vAlign w:val="center"/>
          </w:tcPr>
          <w:p w14:paraId="28A721A7">
            <w:pPr>
              <w:spacing w:line="360" w:lineRule="auto"/>
              <w:jc w:val="center"/>
              <w:rPr>
                <w:rFonts w:hint="eastAsia" w:ascii="宋体" w:hAnsi="宋体"/>
                <w:sz w:val="21"/>
                <w:szCs w:val="21"/>
                <w:highlight w:val="none"/>
              </w:rPr>
            </w:pPr>
            <w:r>
              <w:rPr>
                <w:rFonts w:hint="eastAsia" w:ascii="宋体" w:hAnsi="宋体"/>
                <w:sz w:val="21"/>
                <w:szCs w:val="21"/>
                <w:highlight w:val="none"/>
              </w:rPr>
              <w:t>1.10.1</w:t>
            </w:r>
          </w:p>
        </w:tc>
        <w:tc>
          <w:tcPr>
            <w:tcW w:w="1609" w:type="dxa"/>
            <w:noWrap w:val="0"/>
            <w:vAlign w:val="center"/>
          </w:tcPr>
          <w:p w14:paraId="3C616C41">
            <w:pPr>
              <w:spacing w:line="360" w:lineRule="auto"/>
              <w:jc w:val="center"/>
              <w:rPr>
                <w:rFonts w:hint="eastAsia" w:ascii="宋体" w:hAnsi="宋体"/>
                <w:sz w:val="21"/>
                <w:szCs w:val="21"/>
                <w:highlight w:val="none"/>
              </w:rPr>
            </w:pPr>
            <w:r>
              <w:rPr>
                <w:rFonts w:hint="eastAsia" w:ascii="宋体" w:hAnsi="宋体"/>
                <w:sz w:val="21"/>
                <w:szCs w:val="21"/>
                <w:highlight w:val="none"/>
              </w:rPr>
              <w:t>比选预备会</w:t>
            </w:r>
          </w:p>
        </w:tc>
        <w:tc>
          <w:tcPr>
            <w:tcW w:w="6241" w:type="dxa"/>
            <w:gridSpan w:val="2"/>
            <w:noWrap w:val="0"/>
            <w:vAlign w:val="center"/>
          </w:tcPr>
          <w:p w14:paraId="692ABE6B">
            <w:pPr>
              <w:spacing w:line="360" w:lineRule="auto"/>
              <w:rPr>
                <w:rFonts w:hint="eastAsia" w:ascii="宋体" w:hAnsi="宋体"/>
                <w:sz w:val="21"/>
                <w:szCs w:val="21"/>
                <w:highlight w:val="none"/>
              </w:rPr>
            </w:pPr>
            <w:r>
              <w:rPr>
                <w:rFonts w:hint="eastAsia" w:ascii="宋体" w:hAnsi="宋体"/>
                <w:sz w:val="21"/>
                <w:szCs w:val="21"/>
                <w:highlight w:val="none"/>
              </w:rPr>
              <w:t>不召开</w:t>
            </w:r>
          </w:p>
        </w:tc>
      </w:tr>
      <w:tr w14:paraId="3E0C0DAB">
        <w:trPr>
          <w:trHeight w:val="364" w:hRule="atLeast"/>
          <w:jc w:val="center"/>
        </w:trPr>
        <w:tc>
          <w:tcPr>
            <w:tcW w:w="862" w:type="dxa"/>
            <w:noWrap w:val="0"/>
            <w:vAlign w:val="center"/>
          </w:tcPr>
          <w:p w14:paraId="778310DA">
            <w:pPr>
              <w:spacing w:line="360" w:lineRule="auto"/>
              <w:jc w:val="center"/>
              <w:rPr>
                <w:rFonts w:hint="eastAsia" w:ascii="宋体" w:hAnsi="宋体"/>
                <w:sz w:val="21"/>
                <w:szCs w:val="21"/>
                <w:highlight w:val="none"/>
              </w:rPr>
            </w:pPr>
            <w:r>
              <w:rPr>
                <w:rFonts w:hint="eastAsia" w:ascii="宋体" w:hAnsi="宋体"/>
                <w:sz w:val="21"/>
                <w:szCs w:val="21"/>
                <w:highlight w:val="none"/>
              </w:rPr>
              <w:t>1.10.2</w:t>
            </w:r>
          </w:p>
        </w:tc>
        <w:tc>
          <w:tcPr>
            <w:tcW w:w="1609" w:type="dxa"/>
            <w:noWrap w:val="0"/>
            <w:vAlign w:val="center"/>
          </w:tcPr>
          <w:p w14:paraId="3BAFB91E">
            <w:pPr>
              <w:spacing w:line="360" w:lineRule="auto"/>
              <w:jc w:val="center"/>
              <w:rPr>
                <w:rFonts w:hint="eastAsia" w:ascii="宋体" w:hAnsi="宋体"/>
                <w:sz w:val="21"/>
                <w:szCs w:val="21"/>
                <w:highlight w:val="none"/>
              </w:rPr>
            </w:pPr>
            <w:r>
              <w:rPr>
                <w:rFonts w:hint="eastAsia" w:ascii="宋体" w:hAnsi="宋体"/>
                <w:sz w:val="21"/>
                <w:szCs w:val="21"/>
                <w:highlight w:val="none"/>
              </w:rPr>
              <w:t>比选申请人提出问题的截止时间</w:t>
            </w:r>
          </w:p>
        </w:tc>
        <w:tc>
          <w:tcPr>
            <w:tcW w:w="6241" w:type="dxa"/>
            <w:gridSpan w:val="2"/>
            <w:noWrap w:val="0"/>
            <w:vAlign w:val="center"/>
          </w:tcPr>
          <w:p w14:paraId="4FB4E0D6">
            <w:pPr>
              <w:spacing w:line="360" w:lineRule="auto"/>
              <w:rPr>
                <w:rFonts w:hint="eastAsia" w:ascii="宋体" w:hAnsi="宋体"/>
                <w:sz w:val="21"/>
                <w:szCs w:val="21"/>
                <w:highlight w:val="none"/>
              </w:rPr>
            </w:pPr>
            <w:r>
              <w:rPr>
                <w:rFonts w:hint="eastAsia" w:ascii="宋体" w:hAnsi="宋体"/>
                <w:sz w:val="21"/>
                <w:szCs w:val="21"/>
                <w:highlight w:val="none"/>
              </w:rPr>
              <w:t>比选申请截止时间2日前</w:t>
            </w:r>
          </w:p>
        </w:tc>
      </w:tr>
      <w:tr w14:paraId="6806D2B4">
        <w:trPr>
          <w:trHeight w:val="364" w:hRule="atLeast"/>
          <w:jc w:val="center"/>
        </w:trPr>
        <w:tc>
          <w:tcPr>
            <w:tcW w:w="862" w:type="dxa"/>
            <w:noWrap w:val="0"/>
            <w:vAlign w:val="center"/>
          </w:tcPr>
          <w:p w14:paraId="65C0EE48">
            <w:pPr>
              <w:spacing w:line="360" w:lineRule="auto"/>
              <w:jc w:val="center"/>
              <w:rPr>
                <w:rFonts w:hint="eastAsia" w:ascii="宋体" w:hAnsi="宋体"/>
                <w:sz w:val="21"/>
                <w:szCs w:val="21"/>
                <w:highlight w:val="none"/>
              </w:rPr>
            </w:pPr>
            <w:r>
              <w:rPr>
                <w:rFonts w:hint="eastAsia" w:ascii="宋体" w:hAnsi="宋体"/>
                <w:sz w:val="21"/>
                <w:szCs w:val="21"/>
                <w:highlight w:val="none"/>
              </w:rPr>
              <w:t>1.10.3</w:t>
            </w:r>
          </w:p>
        </w:tc>
        <w:tc>
          <w:tcPr>
            <w:tcW w:w="1609" w:type="dxa"/>
            <w:noWrap w:val="0"/>
            <w:vAlign w:val="center"/>
          </w:tcPr>
          <w:p w14:paraId="287DC4E3">
            <w:pPr>
              <w:spacing w:line="360" w:lineRule="auto"/>
              <w:jc w:val="center"/>
              <w:rPr>
                <w:rFonts w:hint="eastAsia" w:ascii="宋体" w:hAnsi="宋体"/>
                <w:sz w:val="21"/>
                <w:szCs w:val="21"/>
                <w:highlight w:val="none"/>
              </w:rPr>
            </w:pPr>
            <w:r>
              <w:rPr>
                <w:rFonts w:hint="eastAsia" w:ascii="宋体" w:hAnsi="宋体"/>
                <w:sz w:val="21"/>
                <w:szCs w:val="21"/>
                <w:highlight w:val="none"/>
              </w:rPr>
              <w:t>比选人书面澄清的时间</w:t>
            </w:r>
          </w:p>
        </w:tc>
        <w:tc>
          <w:tcPr>
            <w:tcW w:w="6241" w:type="dxa"/>
            <w:gridSpan w:val="2"/>
            <w:noWrap w:val="0"/>
            <w:vAlign w:val="center"/>
          </w:tcPr>
          <w:p w14:paraId="3660ACCD">
            <w:pPr>
              <w:spacing w:line="360" w:lineRule="auto"/>
              <w:rPr>
                <w:rFonts w:hint="eastAsia" w:ascii="宋体" w:hAnsi="宋体"/>
                <w:sz w:val="21"/>
                <w:szCs w:val="21"/>
                <w:highlight w:val="none"/>
              </w:rPr>
            </w:pPr>
            <w:r>
              <w:rPr>
                <w:rFonts w:hint="eastAsia" w:ascii="宋体" w:hAnsi="宋体"/>
                <w:sz w:val="21"/>
                <w:szCs w:val="21"/>
                <w:highlight w:val="none"/>
              </w:rPr>
              <w:t>比选申请截止时间1日前，当有澄清、补遗书、修改文件发布时，按照比选申请人须知总则第2.2条和2.3条执行</w:t>
            </w:r>
          </w:p>
        </w:tc>
      </w:tr>
      <w:tr w14:paraId="4AD6B89C">
        <w:trPr>
          <w:trHeight w:val="364" w:hRule="atLeast"/>
          <w:jc w:val="center"/>
        </w:trPr>
        <w:tc>
          <w:tcPr>
            <w:tcW w:w="862" w:type="dxa"/>
            <w:noWrap w:val="0"/>
            <w:vAlign w:val="center"/>
          </w:tcPr>
          <w:p w14:paraId="601BA812">
            <w:pPr>
              <w:spacing w:line="360" w:lineRule="auto"/>
              <w:jc w:val="center"/>
              <w:rPr>
                <w:rFonts w:hint="eastAsia" w:ascii="宋体" w:hAnsi="宋体"/>
                <w:sz w:val="21"/>
                <w:szCs w:val="21"/>
                <w:highlight w:val="none"/>
              </w:rPr>
            </w:pPr>
            <w:r>
              <w:rPr>
                <w:rFonts w:hint="eastAsia" w:ascii="宋体" w:hAnsi="宋体"/>
                <w:sz w:val="21"/>
                <w:szCs w:val="21"/>
                <w:highlight w:val="none"/>
              </w:rPr>
              <w:t>1.11.1</w:t>
            </w:r>
          </w:p>
        </w:tc>
        <w:tc>
          <w:tcPr>
            <w:tcW w:w="1609" w:type="dxa"/>
            <w:noWrap w:val="0"/>
            <w:vAlign w:val="center"/>
          </w:tcPr>
          <w:p w14:paraId="157E6D2B">
            <w:pPr>
              <w:spacing w:line="360" w:lineRule="auto"/>
              <w:jc w:val="center"/>
              <w:rPr>
                <w:rFonts w:hint="eastAsia" w:ascii="宋体" w:hAnsi="宋体"/>
                <w:sz w:val="21"/>
                <w:szCs w:val="21"/>
                <w:highlight w:val="none"/>
              </w:rPr>
            </w:pPr>
            <w:r>
              <w:rPr>
                <w:rFonts w:ascii="宋体" w:hAnsi="宋体"/>
                <w:sz w:val="21"/>
                <w:szCs w:val="21"/>
                <w:highlight w:val="none"/>
              </w:rPr>
              <w:t>分包</w:t>
            </w:r>
          </w:p>
        </w:tc>
        <w:tc>
          <w:tcPr>
            <w:tcW w:w="6241" w:type="dxa"/>
            <w:gridSpan w:val="2"/>
            <w:noWrap w:val="0"/>
            <w:vAlign w:val="center"/>
          </w:tcPr>
          <w:p w14:paraId="5E60E731">
            <w:pPr>
              <w:spacing w:line="360" w:lineRule="auto"/>
              <w:rPr>
                <w:rFonts w:hint="eastAsia" w:ascii="宋体" w:hAnsi="宋体"/>
                <w:sz w:val="21"/>
                <w:szCs w:val="21"/>
                <w:highlight w:val="none"/>
              </w:rPr>
            </w:pPr>
            <w:r>
              <w:rPr>
                <w:rFonts w:hint="eastAsia" w:ascii="宋体" w:hAnsi="宋体"/>
                <w:sz w:val="21"/>
                <w:szCs w:val="21"/>
                <w:highlight w:val="none"/>
              </w:rPr>
              <w:t>不允许</w:t>
            </w:r>
          </w:p>
        </w:tc>
      </w:tr>
      <w:tr w14:paraId="643A6585">
        <w:trPr>
          <w:trHeight w:val="364" w:hRule="atLeast"/>
          <w:jc w:val="center"/>
        </w:trPr>
        <w:tc>
          <w:tcPr>
            <w:tcW w:w="862" w:type="dxa"/>
            <w:noWrap w:val="0"/>
            <w:vAlign w:val="center"/>
          </w:tcPr>
          <w:p w14:paraId="30B6F7A9">
            <w:pPr>
              <w:spacing w:line="360" w:lineRule="auto"/>
              <w:jc w:val="center"/>
              <w:rPr>
                <w:rFonts w:hint="eastAsia" w:ascii="宋体" w:hAnsi="宋体"/>
                <w:sz w:val="21"/>
                <w:szCs w:val="21"/>
                <w:highlight w:val="none"/>
              </w:rPr>
            </w:pPr>
            <w:r>
              <w:rPr>
                <w:rFonts w:hint="eastAsia" w:ascii="宋体" w:hAnsi="宋体"/>
                <w:sz w:val="21"/>
                <w:szCs w:val="21"/>
                <w:highlight w:val="none"/>
              </w:rPr>
              <w:t>1.12.3</w:t>
            </w:r>
          </w:p>
        </w:tc>
        <w:tc>
          <w:tcPr>
            <w:tcW w:w="1609" w:type="dxa"/>
            <w:noWrap w:val="0"/>
            <w:vAlign w:val="center"/>
          </w:tcPr>
          <w:p w14:paraId="57ABFD97">
            <w:pPr>
              <w:spacing w:line="360" w:lineRule="auto"/>
              <w:jc w:val="center"/>
              <w:rPr>
                <w:rFonts w:ascii="宋体" w:hAnsi="宋体"/>
                <w:sz w:val="21"/>
                <w:szCs w:val="21"/>
                <w:highlight w:val="none"/>
              </w:rPr>
            </w:pPr>
            <w:r>
              <w:rPr>
                <w:rFonts w:hint="eastAsia" w:ascii="宋体" w:hAnsi="宋体"/>
                <w:sz w:val="21"/>
                <w:szCs w:val="21"/>
                <w:highlight w:val="none"/>
              </w:rPr>
              <w:t>偏差</w:t>
            </w:r>
          </w:p>
        </w:tc>
        <w:tc>
          <w:tcPr>
            <w:tcW w:w="6241" w:type="dxa"/>
            <w:gridSpan w:val="2"/>
            <w:noWrap w:val="0"/>
            <w:vAlign w:val="center"/>
          </w:tcPr>
          <w:p w14:paraId="6F381233">
            <w:pPr>
              <w:spacing w:line="360" w:lineRule="auto"/>
              <w:rPr>
                <w:rFonts w:hint="eastAsia" w:ascii="宋体" w:hAnsi="宋体"/>
                <w:sz w:val="21"/>
                <w:szCs w:val="21"/>
                <w:highlight w:val="none"/>
              </w:rPr>
            </w:pPr>
            <w:r>
              <w:rPr>
                <w:rFonts w:hint="eastAsia" w:ascii="宋体" w:hAnsi="宋体"/>
                <w:sz w:val="21"/>
                <w:szCs w:val="21"/>
                <w:highlight w:val="none"/>
              </w:rPr>
              <w:t>不允许</w:t>
            </w:r>
          </w:p>
        </w:tc>
      </w:tr>
      <w:tr w14:paraId="3D4E69D3">
        <w:trPr>
          <w:trHeight w:val="364" w:hRule="atLeast"/>
          <w:jc w:val="center"/>
        </w:trPr>
        <w:tc>
          <w:tcPr>
            <w:tcW w:w="862" w:type="dxa"/>
            <w:noWrap w:val="0"/>
            <w:vAlign w:val="center"/>
          </w:tcPr>
          <w:p w14:paraId="2F4E6606">
            <w:pPr>
              <w:spacing w:line="360" w:lineRule="auto"/>
              <w:jc w:val="center"/>
              <w:rPr>
                <w:rFonts w:hint="eastAsia" w:ascii="宋体" w:hAnsi="宋体"/>
                <w:sz w:val="21"/>
                <w:szCs w:val="21"/>
                <w:highlight w:val="none"/>
              </w:rPr>
            </w:pPr>
            <w:r>
              <w:rPr>
                <w:rFonts w:hint="eastAsia" w:ascii="宋体" w:hAnsi="宋体"/>
                <w:sz w:val="21"/>
                <w:szCs w:val="21"/>
                <w:highlight w:val="none"/>
              </w:rPr>
              <w:t>2.1</w:t>
            </w:r>
          </w:p>
        </w:tc>
        <w:tc>
          <w:tcPr>
            <w:tcW w:w="1609" w:type="dxa"/>
            <w:noWrap w:val="0"/>
            <w:vAlign w:val="center"/>
          </w:tcPr>
          <w:p w14:paraId="65E54868">
            <w:pPr>
              <w:spacing w:line="360" w:lineRule="auto"/>
              <w:jc w:val="center"/>
              <w:rPr>
                <w:rFonts w:hint="eastAsia" w:ascii="宋体" w:hAnsi="宋体"/>
                <w:sz w:val="21"/>
                <w:szCs w:val="21"/>
                <w:highlight w:val="none"/>
              </w:rPr>
            </w:pPr>
            <w:r>
              <w:rPr>
                <w:rFonts w:hint="eastAsia" w:ascii="宋体" w:hAnsi="宋体"/>
                <w:sz w:val="21"/>
                <w:szCs w:val="21"/>
                <w:highlight w:val="none"/>
              </w:rPr>
              <w:t>构成比选文件的其他材料</w:t>
            </w:r>
          </w:p>
        </w:tc>
        <w:tc>
          <w:tcPr>
            <w:tcW w:w="6241" w:type="dxa"/>
            <w:gridSpan w:val="2"/>
            <w:noWrap w:val="0"/>
            <w:vAlign w:val="center"/>
          </w:tcPr>
          <w:p w14:paraId="6CB0FC48">
            <w:pPr>
              <w:spacing w:line="360" w:lineRule="auto"/>
              <w:rPr>
                <w:rFonts w:hint="eastAsia" w:ascii="宋体" w:hAnsi="宋体"/>
                <w:sz w:val="21"/>
                <w:szCs w:val="21"/>
                <w:highlight w:val="none"/>
              </w:rPr>
            </w:pPr>
            <w:r>
              <w:rPr>
                <w:rFonts w:hint="eastAsia" w:ascii="宋体" w:hAnsi="宋体"/>
                <w:sz w:val="21"/>
                <w:szCs w:val="21"/>
                <w:highlight w:val="none"/>
              </w:rPr>
              <w:t>比选人发出的补充材料，比选补遗或比选答疑等内容（如有）</w:t>
            </w:r>
          </w:p>
        </w:tc>
      </w:tr>
      <w:tr w14:paraId="56D5E24F">
        <w:trPr>
          <w:trHeight w:val="364" w:hRule="atLeast"/>
          <w:jc w:val="center"/>
        </w:trPr>
        <w:tc>
          <w:tcPr>
            <w:tcW w:w="862" w:type="dxa"/>
            <w:noWrap w:val="0"/>
            <w:vAlign w:val="center"/>
          </w:tcPr>
          <w:p w14:paraId="49663440">
            <w:pPr>
              <w:spacing w:line="360" w:lineRule="auto"/>
              <w:jc w:val="center"/>
              <w:rPr>
                <w:rFonts w:hint="eastAsia" w:ascii="宋体" w:hAnsi="宋体"/>
                <w:sz w:val="21"/>
                <w:szCs w:val="21"/>
                <w:highlight w:val="none"/>
              </w:rPr>
            </w:pPr>
            <w:r>
              <w:rPr>
                <w:rFonts w:hint="eastAsia" w:ascii="宋体" w:hAnsi="宋体"/>
                <w:sz w:val="21"/>
                <w:szCs w:val="21"/>
                <w:highlight w:val="none"/>
              </w:rPr>
              <w:t>3.1.1</w:t>
            </w:r>
          </w:p>
        </w:tc>
        <w:tc>
          <w:tcPr>
            <w:tcW w:w="1609" w:type="dxa"/>
            <w:noWrap w:val="0"/>
            <w:vAlign w:val="center"/>
          </w:tcPr>
          <w:p w14:paraId="2D98DA97">
            <w:pPr>
              <w:spacing w:line="360" w:lineRule="auto"/>
              <w:jc w:val="center"/>
              <w:rPr>
                <w:rFonts w:hint="eastAsia" w:ascii="宋体" w:hAnsi="宋体"/>
                <w:sz w:val="21"/>
                <w:szCs w:val="21"/>
                <w:highlight w:val="none"/>
              </w:rPr>
            </w:pPr>
            <w:r>
              <w:rPr>
                <w:rFonts w:hint="eastAsia" w:ascii="宋体" w:hAnsi="宋体"/>
                <w:sz w:val="21"/>
                <w:szCs w:val="21"/>
                <w:highlight w:val="none"/>
              </w:rPr>
              <w:t>构成比选申请文件的其他材料</w:t>
            </w:r>
          </w:p>
        </w:tc>
        <w:tc>
          <w:tcPr>
            <w:tcW w:w="6241" w:type="dxa"/>
            <w:gridSpan w:val="2"/>
            <w:noWrap w:val="0"/>
            <w:vAlign w:val="center"/>
          </w:tcPr>
          <w:p w14:paraId="7473699D">
            <w:pPr>
              <w:spacing w:line="360" w:lineRule="auto"/>
              <w:rPr>
                <w:rFonts w:hint="eastAsia" w:ascii="宋体" w:hAnsi="宋体"/>
                <w:sz w:val="21"/>
                <w:szCs w:val="21"/>
                <w:highlight w:val="none"/>
              </w:rPr>
            </w:pPr>
            <w:bookmarkStart w:id="78" w:name="_Toc213338024"/>
            <w:r>
              <w:rPr>
                <w:rFonts w:hint="eastAsia" w:ascii="宋体" w:hAnsi="宋体"/>
                <w:sz w:val="21"/>
                <w:szCs w:val="21"/>
                <w:highlight w:val="none"/>
              </w:rPr>
              <w:t>比选申请人认为有必要提供的其他材料</w:t>
            </w:r>
            <w:bookmarkEnd w:id="78"/>
          </w:p>
        </w:tc>
      </w:tr>
      <w:tr w14:paraId="6D958F6C">
        <w:trPr>
          <w:trHeight w:val="364" w:hRule="atLeast"/>
          <w:jc w:val="center"/>
        </w:trPr>
        <w:tc>
          <w:tcPr>
            <w:tcW w:w="862" w:type="dxa"/>
            <w:noWrap w:val="0"/>
            <w:vAlign w:val="center"/>
          </w:tcPr>
          <w:p w14:paraId="1B24765B">
            <w:pPr>
              <w:spacing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3.2.4</w:t>
            </w:r>
          </w:p>
        </w:tc>
        <w:tc>
          <w:tcPr>
            <w:tcW w:w="1609" w:type="dxa"/>
            <w:noWrap w:val="0"/>
            <w:vAlign w:val="center"/>
          </w:tcPr>
          <w:p w14:paraId="4CA474EE">
            <w:pPr>
              <w:spacing w:line="360" w:lineRule="auto"/>
              <w:jc w:val="center"/>
              <w:rPr>
                <w:rFonts w:hint="eastAsia" w:ascii="宋体" w:hAnsi="宋体" w:eastAsia="宋体"/>
                <w:sz w:val="21"/>
                <w:szCs w:val="21"/>
                <w:highlight w:val="none"/>
                <w:u w:val="none"/>
              </w:rPr>
            </w:pPr>
            <w:r>
              <w:rPr>
                <w:rFonts w:hint="eastAsia" w:ascii="宋体" w:hAnsi="宋体" w:eastAsia="宋体"/>
                <w:sz w:val="21"/>
                <w:szCs w:val="21"/>
                <w:highlight w:val="none"/>
                <w:u w:val="none"/>
              </w:rPr>
              <w:t>最高限价</w:t>
            </w:r>
          </w:p>
        </w:tc>
        <w:tc>
          <w:tcPr>
            <w:tcW w:w="6241" w:type="dxa"/>
            <w:gridSpan w:val="2"/>
            <w:noWrap w:val="0"/>
            <w:vAlign w:val="center"/>
          </w:tcPr>
          <w:p w14:paraId="6EB982E6">
            <w:pPr>
              <w:spacing w:line="360" w:lineRule="auto"/>
              <w:rPr>
                <w:rFonts w:hint="eastAsia" w:ascii="宋体" w:hAnsi="宋体" w:eastAsia="宋体"/>
                <w:sz w:val="21"/>
                <w:szCs w:val="21"/>
                <w:highlight w:val="none"/>
                <w:u w:val="none"/>
                <w:lang w:eastAsia="zh-CN"/>
              </w:rPr>
            </w:pPr>
            <w:r>
              <w:rPr>
                <w:rFonts w:hint="eastAsia" w:ascii="宋体" w:hAnsi="宋体" w:eastAsia="宋体"/>
                <w:sz w:val="21"/>
                <w:szCs w:val="21"/>
                <w:highlight w:val="none"/>
                <w:u w:val="none"/>
                <w:lang w:eastAsia="zh-CN"/>
              </w:rPr>
              <w:t>最</w:t>
            </w:r>
            <w:commentRangeStart w:id="0"/>
            <w:r>
              <w:rPr>
                <w:rFonts w:hint="eastAsia" w:ascii="宋体" w:hAnsi="宋体" w:eastAsia="宋体"/>
                <w:sz w:val="21"/>
                <w:szCs w:val="21"/>
                <w:highlight w:val="none"/>
                <w:u w:val="none"/>
                <w:lang w:eastAsia="zh-CN"/>
              </w:rPr>
              <w:t>高限价如下：</w:t>
            </w:r>
          </w:p>
          <w:p w14:paraId="00615945">
            <w:pPr>
              <w:spacing w:line="360" w:lineRule="auto"/>
              <w:rPr>
                <w:rFonts w:hint="eastAsia" w:ascii="宋体" w:hAnsi="宋体" w:eastAsia="宋体"/>
                <w:sz w:val="21"/>
                <w:szCs w:val="21"/>
                <w:highlight w:val="none"/>
                <w:u w:val="none"/>
                <w:lang w:val="en-US" w:eastAsia="zh-CN"/>
              </w:rPr>
            </w:pPr>
            <w:r>
              <w:rPr>
                <w:rFonts w:hint="eastAsia" w:ascii="宋体" w:hAnsi="宋体" w:eastAsia="宋体"/>
                <w:sz w:val="21"/>
                <w:szCs w:val="21"/>
                <w:highlight w:val="none"/>
                <w:u w:val="none"/>
              </w:rPr>
              <w:t xml:space="preserve">单批次运费总价 = </w:t>
            </w:r>
            <w:r>
              <w:rPr>
                <w:rFonts w:hint="eastAsia" w:ascii="宋体" w:hAnsi="宋体" w:eastAsia="宋体"/>
                <w:sz w:val="21"/>
                <w:szCs w:val="21"/>
                <w:highlight w:val="none"/>
              </w:rPr>
              <w:t>货物重量（吨</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w:t>
            </w:r>
            <w:r>
              <w:rPr>
                <w:rFonts w:hint="eastAsia" w:ascii="宋体" w:hAnsi="宋体" w:eastAsia="宋体"/>
                <w:sz w:val="21"/>
                <w:szCs w:val="21"/>
                <w:highlight w:val="none"/>
              </w:rPr>
              <w:t>每吨基础费用（</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元/吨）</w:t>
            </w:r>
            <w:r>
              <w:rPr>
                <w:rFonts w:hint="eastAsia" w:ascii="宋体" w:hAnsi="宋体" w:eastAsia="宋体"/>
                <w:sz w:val="21"/>
                <w:szCs w:val="21"/>
                <w:highlight w:val="none"/>
                <w:lang w:val="en-US" w:eastAsia="zh-CN"/>
              </w:rPr>
              <w:t>➕</w:t>
            </w:r>
            <w:r>
              <w:rPr>
                <w:rFonts w:hint="eastAsia" w:ascii="宋体" w:hAnsi="宋体" w:eastAsia="宋体"/>
                <w:sz w:val="21"/>
                <w:szCs w:val="21"/>
                <w:highlight w:val="none"/>
                <w:u w:val="none"/>
              </w:rPr>
              <w:t>运输综合单价</w:t>
            </w:r>
            <w:r>
              <w:rPr>
                <w:rFonts w:hint="eastAsia" w:ascii="宋体" w:hAnsi="宋体"/>
                <w:sz w:val="21"/>
                <w:szCs w:val="21"/>
                <w:highlight w:val="none"/>
                <w:u w:val="single"/>
                <w:lang w:val="en-US" w:eastAsia="zh-CN"/>
              </w:rPr>
              <w:t>3.50</w:t>
            </w:r>
            <w:r>
              <w:rPr>
                <w:rFonts w:hint="eastAsia" w:ascii="宋体" w:hAnsi="宋体" w:eastAsia="宋体"/>
                <w:sz w:val="21"/>
                <w:szCs w:val="21"/>
                <w:highlight w:val="none"/>
                <w:u w:val="single"/>
              </w:rPr>
              <w:t>元/公里</w:t>
            </w:r>
            <w:r>
              <w:rPr>
                <w:rFonts w:hint="eastAsia" w:ascii="宋体" w:hAnsi="宋体"/>
                <w:sz w:val="21"/>
                <w:szCs w:val="21"/>
                <w:highlight w:val="none"/>
                <w:u w:val="none"/>
                <w:lang w:eastAsia="zh-CN"/>
              </w:rPr>
              <w:t>（</w:t>
            </w:r>
            <w:r>
              <w:rPr>
                <w:rFonts w:hint="eastAsia" w:ascii="宋体" w:hAnsi="宋体"/>
                <w:sz w:val="21"/>
                <w:szCs w:val="21"/>
                <w:highlight w:val="none"/>
                <w:u w:val="none"/>
                <w:lang w:val="en-US" w:eastAsia="zh-CN"/>
              </w:rPr>
              <w:t>含税，含保险）</w:t>
            </w:r>
            <w:r>
              <w:rPr>
                <w:rFonts w:hint="eastAsia" w:ascii="宋体" w:hAnsi="宋体" w:eastAsia="宋体"/>
                <w:sz w:val="21"/>
                <w:szCs w:val="21"/>
                <w:highlight w:val="none"/>
                <w:lang w:val="en-US" w:eastAsia="zh-CN"/>
              </w:rPr>
              <w:t>✖️</w:t>
            </w:r>
            <w:r>
              <w:rPr>
                <w:rFonts w:hint="eastAsia" w:ascii="宋体" w:hAnsi="宋体" w:eastAsia="宋体"/>
                <w:sz w:val="21"/>
                <w:szCs w:val="21"/>
                <w:highlight w:val="none"/>
                <w:u w:val="none"/>
              </w:rPr>
              <w:t>实际运输</w:t>
            </w:r>
            <w:r>
              <w:rPr>
                <w:rFonts w:hint="eastAsia" w:ascii="宋体" w:hAnsi="宋体"/>
                <w:sz w:val="21"/>
                <w:szCs w:val="21"/>
                <w:highlight w:val="none"/>
                <w:u w:val="none"/>
                <w:lang w:val="en-US" w:eastAsia="zh-CN"/>
              </w:rPr>
              <w:t>公里</w:t>
            </w:r>
          </w:p>
          <w:commentRangeEnd w:id="0"/>
          <w:p w14:paraId="654E8AF6">
            <w:pPr>
              <w:spacing w:line="360" w:lineRule="auto"/>
              <w:ind w:firstLine="480" w:firstLineChars="200"/>
              <w:rPr>
                <w:rFonts w:hint="eastAsia" w:ascii="宋体" w:hAnsi="宋体"/>
                <w:b/>
                <w:sz w:val="21"/>
                <w:szCs w:val="21"/>
                <w:highlight w:val="none"/>
                <w:u w:val="none"/>
              </w:rPr>
            </w:pPr>
            <w:r>
              <w:rPr>
                <w:u w:val="none"/>
              </w:rPr>
              <w:commentReference w:id="0"/>
            </w:r>
          </w:p>
          <w:p w14:paraId="55DA859D">
            <w:pPr>
              <w:spacing w:line="360" w:lineRule="auto"/>
              <w:rPr>
                <w:rFonts w:hint="eastAsia" w:ascii="宋体" w:hAnsi="宋体" w:eastAsia="宋体"/>
                <w:sz w:val="21"/>
                <w:szCs w:val="21"/>
                <w:highlight w:val="none"/>
                <w:u w:val="none"/>
              </w:rPr>
            </w:pPr>
            <w:r>
              <w:rPr>
                <w:rFonts w:hint="eastAsia" w:ascii="宋体" w:hAnsi="宋体" w:eastAsia="宋体"/>
                <w:sz w:val="21"/>
                <w:szCs w:val="21"/>
                <w:highlight w:val="none"/>
                <w:u w:val="none"/>
              </w:rPr>
              <w:t>最高限价说明：</w:t>
            </w:r>
          </w:p>
          <w:p w14:paraId="08DAD0FA">
            <w:pPr>
              <w:spacing w:line="360" w:lineRule="auto"/>
              <w:rPr>
                <w:rFonts w:hint="eastAsia" w:ascii="宋体" w:hAnsi="宋体" w:eastAsia="宋体"/>
                <w:sz w:val="21"/>
                <w:szCs w:val="21"/>
                <w:highlight w:val="none"/>
                <w:u w:val="none"/>
              </w:rPr>
            </w:pPr>
            <w:r>
              <w:rPr>
                <w:rFonts w:hint="eastAsia" w:ascii="宋体" w:hAnsi="宋体" w:eastAsia="宋体"/>
                <w:sz w:val="21"/>
                <w:szCs w:val="21"/>
                <w:highlight w:val="none"/>
                <w:u w:val="none"/>
              </w:rPr>
              <w:t>1、</w:t>
            </w:r>
            <w:r>
              <w:rPr>
                <w:rFonts w:hint="eastAsia" w:ascii="宋体" w:hAnsi="宋体" w:eastAsia="宋体"/>
                <w:sz w:val="21"/>
                <w:szCs w:val="21"/>
                <w:highlight w:val="none"/>
                <w:u w:val="none"/>
                <w:lang w:eastAsia="zh-CN"/>
              </w:rPr>
              <w:t>比选申请人</w:t>
            </w:r>
            <w:r>
              <w:rPr>
                <w:rFonts w:hint="eastAsia" w:ascii="宋体" w:hAnsi="宋体" w:eastAsia="宋体"/>
                <w:sz w:val="21"/>
                <w:szCs w:val="21"/>
                <w:highlight w:val="none"/>
                <w:u w:val="none"/>
              </w:rPr>
              <w:t>的报价均不得超过相应最高限价，否则其投标报价视为无效投标，不再进入下一步评审</w:t>
            </w:r>
          </w:p>
          <w:p w14:paraId="20ED3E8F">
            <w:pPr>
              <w:spacing w:line="360" w:lineRule="auto"/>
              <w:rPr>
                <w:rFonts w:hint="eastAsia" w:ascii="宋体" w:hAnsi="宋体" w:eastAsia="宋体"/>
                <w:sz w:val="21"/>
                <w:szCs w:val="21"/>
                <w:highlight w:val="none"/>
                <w:u w:val="none"/>
              </w:rPr>
            </w:pPr>
            <w:r>
              <w:rPr>
                <w:rFonts w:hint="eastAsia" w:ascii="宋体" w:hAnsi="宋体" w:eastAsia="宋体"/>
                <w:sz w:val="21"/>
                <w:szCs w:val="21"/>
                <w:highlight w:val="none"/>
                <w:u w:val="none"/>
                <w:lang w:val="en-US" w:eastAsia="zh-CN"/>
              </w:rPr>
              <w:t>2、</w:t>
            </w:r>
            <w:r>
              <w:rPr>
                <w:rFonts w:hint="eastAsia" w:ascii="宋体" w:hAnsi="宋体" w:eastAsia="宋体"/>
                <w:sz w:val="21"/>
                <w:szCs w:val="21"/>
                <w:highlight w:val="none"/>
                <w:u w:val="none"/>
              </w:rPr>
              <w:t>上述金额为人民币含税价格。</w:t>
            </w:r>
          </w:p>
          <w:p w14:paraId="386E9981">
            <w:pPr>
              <w:spacing w:line="360" w:lineRule="auto"/>
              <w:rPr>
                <w:rFonts w:hint="eastAsia" w:ascii="宋体" w:hAnsi="宋体" w:cs="宋体"/>
                <w:b/>
                <w:sz w:val="21"/>
                <w:szCs w:val="21"/>
                <w:highlight w:val="none"/>
                <w:u w:val="none"/>
              </w:rPr>
            </w:pPr>
            <w:r>
              <w:rPr>
                <w:rFonts w:hint="eastAsia" w:ascii="宋体" w:hAnsi="宋体" w:eastAsia="宋体"/>
                <w:sz w:val="21"/>
                <w:szCs w:val="21"/>
                <w:highlight w:val="none"/>
                <w:u w:val="none"/>
              </w:rPr>
              <w:t>2、比选申请人的报价</w:t>
            </w:r>
            <w:r>
              <w:rPr>
                <w:rFonts w:hint="eastAsia" w:ascii="宋体" w:hAnsi="宋体" w:eastAsia="宋体"/>
                <w:sz w:val="21"/>
                <w:szCs w:val="21"/>
                <w:highlight w:val="none"/>
                <w:u w:val="none"/>
                <w:lang w:eastAsia="zh-CN"/>
              </w:rPr>
              <w:t>应</w:t>
            </w:r>
            <w:r>
              <w:rPr>
                <w:rFonts w:hint="eastAsia" w:ascii="宋体" w:hAnsi="宋体" w:eastAsia="宋体"/>
                <w:sz w:val="21"/>
                <w:szCs w:val="21"/>
                <w:highlight w:val="none"/>
                <w:u w:val="none"/>
              </w:rPr>
              <w:t>包含装车费、运输费、运输损耗、保险费、卸车费、资金占用费、贴息费、管理费、利润等以及按国家有关规定和企业自身管理需求应支付的相关费用。</w:t>
            </w:r>
          </w:p>
        </w:tc>
      </w:tr>
      <w:tr w14:paraId="56B33A6F">
        <w:trPr>
          <w:trHeight w:val="364" w:hRule="atLeast"/>
          <w:jc w:val="center"/>
        </w:trPr>
        <w:tc>
          <w:tcPr>
            <w:tcW w:w="862" w:type="dxa"/>
            <w:noWrap w:val="0"/>
            <w:vAlign w:val="center"/>
          </w:tcPr>
          <w:p w14:paraId="4E2846A7">
            <w:pPr>
              <w:spacing w:line="360" w:lineRule="auto"/>
              <w:jc w:val="center"/>
              <w:rPr>
                <w:rFonts w:hint="eastAsia" w:ascii="宋体" w:hAnsi="宋体"/>
                <w:sz w:val="21"/>
                <w:szCs w:val="21"/>
                <w:highlight w:val="none"/>
              </w:rPr>
            </w:pPr>
            <w:r>
              <w:rPr>
                <w:rFonts w:hint="eastAsia" w:ascii="宋体" w:hAnsi="宋体"/>
                <w:sz w:val="21"/>
                <w:szCs w:val="21"/>
                <w:highlight w:val="none"/>
              </w:rPr>
              <w:t>3.2.5</w:t>
            </w:r>
          </w:p>
        </w:tc>
        <w:tc>
          <w:tcPr>
            <w:tcW w:w="1609" w:type="dxa"/>
            <w:noWrap w:val="0"/>
            <w:vAlign w:val="center"/>
          </w:tcPr>
          <w:p w14:paraId="75C70F56">
            <w:pPr>
              <w:spacing w:line="360" w:lineRule="auto"/>
              <w:jc w:val="center"/>
              <w:rPr>
                <w:rFonts w:hint="eastAsia" w:ascii="宋体" w:hAnsi="宋体"/>
                <w:sz w:val="21"/>
                <w:szCs w:val="21"/>
                <w:highlight w:val="none"/>
              </w:rPr>
            </w:pPr>
            <w:r>
              <w:rPr>
                <w:rFonts w:hint="eastAsia" w:ascii="宋体" w:hAnsi="宋体"/>
                <w:sz w:val="21"/>
                <w:szCs w:val="21"/>
                <w:highlight w:val="none"/>
              </w:rPr>
              <w:t>参选报价的其他要求</w:t>
            </w:r>
          </w:p>
        </w:tc>
        <w:tc>
          <w:tcPr>
            <w:tcW w:w="6241" w:type="dxa"/>
            <w:gridSpan w:val="2"/>
            <w:noWrap w:val="0"/>
            <w:vAlign w:val="center"/>
          </w:tcPr>
          <w:p w14:paraId="0666C7E2">
            <w:pPr>
              <w:spacing w:line="360" w:lineRule="auto"/>
              <w:ind w:firstLine="420" w:firstLineChars="200"/>
              <w:rPr>
                <w:rFonts w:hint="eastAsia" w:ascii="宋体" w:hAnsi="宋体" w:cs="Arial"/>
                <w:sz w:val="21"/>
                <w:szCs w:val="21"/>
                <w:highlight w:val="none"/>
              </w:rPr>
            </w:pPr>
            <w:r>
              <w:rPr>
                <w:rFonts w:hint="eastAsia" w:ascii="宋体" w:hAnsi="宋体" w:cs="Arial"/>
                <w:sz w:val="21"/>
                <w:szCs w:val="21"/>
                <w:highlight w:val="none"/>
              </w:rPr>
              <w:t>比选申请人应根据项目概况，同时结合自身经营、管理水平，并充分考虑服务期间的未来风险，经过经济技术比较分析后填报费用。</w:t>
            </w:r>
          </w:p>
          <w:p w14:paraId="4EA1005E">
            <w:pPr>
              <w:spacing w:line="360" w:lineRule="auto"/>
              <w:ind w:firstLine="420" w:firstLineChars="200"/>
              <w:rPr>
                <w:rFonts w:hint="eastAsia" w:ascii="宋体" w:hAnsi="宋体" w:cs="Arial"/>
                <w:sz w:val="21"/>
                <w:szCs w:val="21"/>
                <w:highlight w:val="none"/>
              </w:rPr>
            </w:pPr>
            <w:r>
              <w:rPr>
                <w:rFonts w:hint="eastAsia" w:ascii="宋体" w:hAnsi="宋体"/>
                <w:b/>
                <w:sz w:val="21"/>
                <w:szCs w:val="21"/>
                <w:highlight w:val="none"/>
              </w:rPr>
              <w:t>比选申请人填报的报价不得超过最高限价，否则否决其参选。</w:t>
            </w:r>
          </w:p>
        </w:tc>
      </w:tr>
      <w:tr w14:paraId="59EF621B">
        <w:trPr>
          <w:trHeight w:val="364" w:hRule="atLeast"/>
          <w:jc w:val="center"/>
        </w:trPr>
        <w:tc>
          <w:tcPr>
            <w:tcW w:w="862" w:type="dxa"/>
            <w:noWrap w:val="0"/>
            <w:vAlign w:val="center"/>
          </w:tcPr>
          <w:p w14:paraId="48DE05E3">
            <w:pPr>
              <w:spacing w:line="360" w:lineRule="auto"/>
              <w:jc w:val="center"/>
              <w:rPr>
                <w:rFonts w:hint="eastAsia" w:ascii="宋体" w:hAnsi="宋体"/>
                <w:b/>
                <w:sz w:val="21"/>
                <w:szCs w:val="21"/>
                <w:highlight w:val="none"/>
              </w:rPr>
            </w:pPr>
            <w:r>
              <w:rPr>
                <w:rFonts w:hint="eastAsia" w:ascii="宋体" w:hAnsi="宋体"/>
                <w:b/>
                <w:sz w:val="21"/>
                <w:szCs w:val="21"/>
                <w:highlight w:val="none"/>
              </w:rPr>
              <w:t>3.3.1</w:t>
            </w:r>
          </w:p>
        </w:tc>
        <w:tc>
          <w:tcPr>
            <w:tcW w:w="1609" w:type="dxa"/>
            <w:noWrap w:val="0"/>
            <w:vAlign w:val="center"/>
          </w:tcPr>
          <w:p w14:paraId="79AEEEA2">
            <w:pPr>
              <w:spacing w:line="360" w:lineRule="auto"/>
              <w:jc w:val="center"/>
              <w:rPr>
                <w:rFonts w:hint="eastAsia" w:ascii="宋体" w:hAnsi="宋体"/>
                <w:sz w:val="21"/>
                <w:szCs w:val="21"/>
                <w:highlight w:val="none"/>
              </w:rPr>
            </w:pPr>
            <w:r>
              <w:rPr>
                <w:rFonts w:hint="eastAsia" w:ascii="宋体" w:hAnsi="宋体"/>
                <w:b/>
                <w:sz w:val="21"/>
                <w:szCs w:val="21"/>
                <w:highlight w:val="none"/>
              </w:rPr>
              <w:t>比选有效期</w:t>
            </w:r>
          </w:p>
        </w:tc>
        <w:tc>
          <w:tcPr>
            <w:tcW w:w="6241" w:type="dxa"/>
            <w:gridSpan w:val="2"/>
            <w:noWrap w:val="0"/>
            <w:vAlign w:val="center"/>
          </w:tcPr>
          <w:p w14:paraId="32A7636D">
            <w:pPr>
              <w:spacing w:line="360" w:lineRule="auto"/>
              <w:rPr>
                <w:rFonts w:hint="eastAsia" w:ascii="宋体" w:hAnsi="宋体" w:cs="Arial"/>
                <w:b/>
                <w:sz w:val="21"/>
                <w:szCs w:val="21"/>
                <w:highlight w:val="none"/>
              </w:rPr>
            </w:pPr>
            <w:r>
              <w:rPr>
                <w:rFonts w:hint="eastAsia" w:ascii="宋体" w:hAnsi="宋体" w:cs="Arial"/>
                <w:b/>
                <w:sz w:val="21"/>
                <w:szCs w:val="21"/>
                <w:highlight w:val="none"/>
                <w:u w:val="single"/>
              </w:rPr>
              <w:t>90</w:t>
            </w:r>
            <w:r>
              <w:rPr>
                <w:rFonts w:ascii="宋体" w:hAnsi="宋体" w:cs="Arial"/>
                <w:b/>
                <w:sz w:val="21"/>
                <w:szCs w:val="21"/>
                <w:highlight w:val="none"/>
              </w:rPr>
              <w:t>日历天（从</w:t>
            </w:r>
            <w:r>
              <w:rPr>
                <w:rFonts w:hint="eastAsia" w:ascii="宋体" w:hAnsi="宋体" w:cs="Arial"/>
                <w:b/>
                <w:sz w:val="21"/>
                <w:szCs w:val="21"/>
                <w:highlight w:val="none"/>
              </w:rPr>
              <w:t>比选申请</w:t>
            </w:r>
            <w:r>
              <w:rPr>
                <w:rFonts w:ascii="宋体" w:hAnsi="宋体" w:cs="Arial"/>
                <w:b/>
                <w:sz w:val="21"/>
                <w:szCs w:val="21"/>
                <w:highlight w:val="none"/>
              </w:rPr>
              <w:t>截止之日算起）</w:t>
            </w:r>
          </w:p>
          <w:p w14:paraId="24485206">
            <w:pPr>
              <w:spacing w:line="360" w:lineRule="auto"/>
              <w:rPr>
                <w:rFonts w:hint="eastAsia" w:ascii="宋体" w:hAnsi="宋体"/>
                <w:sz w:val="21"/>
                <w:szCs w:val="21"/>
                <w:highlight w:val="none"/>
              </w:rPr>
            </w:pPr>
            <w:r>
              <w:rPr>
                <w:rFonts w:hint="eastAsia" w:ascii="宋体" w:hAnsi="宋体"/>
                <w:b/>
                <w:sz w:val="21"/>
                <w:szCs w:val="21"/>
                <w:highlight w:val="none"/>
              </w:rPr>
              <w:t>注:不能在比选有效期内完成评审和定选的,比选人应当通知所有比选申请人延长比选有效期;没有通知的,视为自动(不需通知)延长所有比选申请人的比选有效期至完成评审和定选工作。拒绝延长比选有效期的比选申请人有权收回比选保证金（保证金不计息）;接受延长比选有效期的比选申请人自动延长其比选保证金的有效期,但不得修改比选申请文件的实质性内容。</w:t>
            </w:r>
          </w:p>
        </w:tc>
      </w:tr>
      <w:tr w14:paraId="6679D70C">
        <w:trPr>
          <w:trHeight w:val="728" w:hRule="atLeast"/>
          <w:jc w:val="center"/>
        </w:trPr>
        <w:tc>
          <w:tcPr>
            <w:tcW w:w="862" w:type="dxa"/>
            <w:noWrap w:val="0"/>
            <w:vAlign w:val="center"/>
          </w:tcPr>
          <w:p w14:paraId="69EAD370">
            <w:pPr>
              <w:spacing w:line="360" w:lineRule="auto"/>
              <w:jc w:val="center"/>
              <w:rPr>
                <w:rFonts w:hint="eastAsia" w:ascii="宋体" w:hAnsi="宋体"/>
                <w:b/>
                <w:sz w:val="21"/>
                <w:szCs w:val="21"/>
                <w:highlight w:val="none"/>
              </w:rPr>
            </w:pPr>
            <w:r>
              <w:rPr>
                <w:rFonts w:hint="eastAsia" w:ascii="宋体" w:hAnsi="宋体"/>
                <w:b/>
                <w:sz w:val="21"/>
                <w:szCs w:val="21"/>
                <w:highlight w:val="none"/>
              </w:rPr>
              <w:t>3.4.1</w:t>
            </w:r>
          </w:p>
        </w:tc>
        <w:tc>
          <w:tcPr>
            <w:tcW w:w="1609" w:type="dxa"/>
            <w:noWrap w:val="0"/>
            <w:vAlign w:val="center"/>
          </w:tcPr>
          <w:p w14:paraId="3C4519AA">
            <w:pPr>
              <w:spacing w:line="360" w:lineRule="auto"/>
              <w:jc w:val="center"/>
              <w:rPr>
                <w:rFonts w:hint="eastAsia" w:ascii="宋体" w:hAnsi="宋体"/>
                <w:sz w:val="21"/>
                <w:szCs w:val="21"/>
                <w:highlight w:val="none"/>
              </w:rPr>
            </w:pPr>
            <w:r>
              <w:rPr>
                <w:rFonts w:hint="eastAsia" w:ascii="宋体" w:hAnsi="宋体"/>
                <w:b/>
                <w:sz w:val="21"/>
                <w:szCs w:val="21"/>
                <w:highlight w:val="none"/>
              </w:rPr>
              <w:t>比选保证金</w:t>
            </w:r>
          </w:p>
        </w:tc>
        <w:tc>
          <w:tcPr>
            <w:tcW w:w="6241" w:type="dxa"/>
            <w:gridSpan w:val="2"/>
            <w:noWrap w:val="0"/>
            <w:vAlign w:val="center"/>
          </w:tcPr>
          <w:p w14:paraId="2C32713A">
            <w:pPr>
              <w:spacing w:line="360" w:lineRule="auto"/>
              <w:rPr>
                <w:rFonts w:hint="eastAsia" w:ascii="宋体" w:hAnsi="宋体" w:cs="Arial"/>
                <w:sz w:val="21"/>
                <w:szCs w:val="21"/>
                <w:highlight w:val="none"/>
              </w:rPr>
            </w:pPr>
            <w:r>
              <w:rPr>
                <w:rFonts w:hint="eastAsia" w:ascii="宋体" w:hAnsi="宋体"/>
                <w:b/>
                <w:kern w:val="2"/>
                <w:sz w:val="21"/>
                <w:szCs w:val="21"/>
                <w:highlight w:val="none"/>
              </w:rPr>
              <w:t>不递交</w:t>
            </w:r>
          </w:p>
        </w:tc>
      </w:tr>
      <w:tr w14:paraId="739D48A0">
        <w:trPr>
          <w:trHeight w:val="364" w:hRule="atLeast"/>
          <w:jc w:val="center"/>
        </w:trPr>
        <w:tc>
          <w:tcPr>
            <w:tcW w:w="862" w:type="dxa"/>
            <w:noWrap w:val="0"/>
            <w:vAlign w:val="center"/>
          </w:tcPr>
          <w:p w14:paraId="16520C52">
            <w:pPr>
              <w:spacing w:line="360" w:lineRule="auto"/>
              <w:jc w:val="center"/>
              <w:rPr>
                <w:rFonts w:hint="eastAsia" w:ascii="宋体" w:hAnsi="宋体"/>
                <w:sz w:val="21"/>
                <w:szCs w:val="21"/>
                <w:highlight w:val="none"/>
              </w:rPr>
            </w:pPr>
            <w:r>
              <w:rPr>
                <w:rFonts w:hint="eastAsia" w:ascii="宋体" w:hAnsi="宋体"/>
                <w:sz w:val="21"/>
                <w:szCs w:val="21"/>
                <w:highlight w:val="none"/>
              </w:rPr>
              <w:t>3.5.2</w:t>
            </w:r>
          </w:p>
        </w:tc>
        <w:tc>
          <w:tcPr>
            <w:tcW w:w="1609" w:type="dxa"/>
            <w:noWrap w:val="0"/>
            <w:vAlign w:val="center"/>
          </w:tcPr>
          <w:p w14:paraId="400FBD4A">
            <w:pPr>
              <w:spacing w:line="360" w:lineRule="auto"/>
              <w:jc w:val="center"/>
              <w:rPr>
                <w:rFonts w:hint="eastAsia" w:ascii="宋体" w:hAnsi="宋体"/>
                <w:sz w:val="21"/>
                <w:szCs w:val="21"/>
                <w:highlight w:val="none"/>
              </w:rPr>
            </w:pPr>
            <w:r>
              <w:rPr>
                <w:rFonts w:hint="eastAsia" w:ascii="宋体" w:hAnsi="宋体"/>
                <w:sz w:val="21"/>
                <w:szCs w:val="21"/>
                <w:highlight w:val="none"/>
              </w:rPr>
              <w:t>近年财务状况</w:t>
            </w:r>
          </w:p>
        </w:tc>
        <w:tc>
          <w:tcPr>
            <w:tcW w:w="6241" w:type="dxa"/>
            <w:gridSpan w:val="2"/>
            <w:noWrap w:val="0"/>
            <w:vAlign w:val="center"/>
          </w:tcPr>
          <w:p w14:paraId="720D8315">
            <w:pPr>
              <w:spacing w:line="360" w:lineRule="auto"/>
              <w:rPr>
                <w:rFonts w:hint="eastAsia" w:ascii="宋体" w:hAnsi="宋体"/>
                <w:sz w:val="21"/>
                <w:szCs w:val="21"/>
                <w:highlight w:val="none"/>
              </w:rPr>
            </w:pPr>
            <w:r>
              <w:rPr>
                <w:rFonts w:hint="eastAsia" w:ascii="宋体" w:hAnsi="宋体"/>
                <w:sz w:val="21"/>
                <w:szCs w:val="21"/>
                <w:highlight w:val="none"/>
              </w:rPr>
              <w:t>不提供</w:t>
            </w:r>
          </w:p>
        </w:tc>
      </w:tr>
      <w:tr w14:paraId="4AC33E01">
        <w:trPr>
          <w:trHeight w:val="364" w:hRule="atLeast"/>
          <w:jc w:val="center"/>
        </w:trPr>
        <w:tc>
          <w:tcPr>
            <w:tcW w:w="862" w:type="dxa"/>
            <w:noWrap w:val="0"/>
            <w:vAlign w:val="center"/>
          </w:tcPr>
          <w:p w14:paraId="084A102E">
            <w:pPr>
              <w:spacing w:line="360" w:lineRule="auto"/>
              <w:jc w:val="center"/>
              <w:rPr>
                <w:rFonts w:hint="eastAsia" w:ascii="宋体" w:hAnsi="宋体"/>
                <w:sz w:val="21"/>
                <w:szCs w:val="21"/>
                <w:highlight w:val="none"/>
              </w:rPr>
            </w:pPr>
            <w:r>
              <w:rPr>
                <w:rFonts w:hint="eastAsia" w:ascii="宋体" w:hAnsi="宋体"/>
                <w:sz w:val="21"/>
                <w:szCs w:val="21"/>
                <w:highlight w:val="none"/>
              </w:rPr>
              <w:t>3.5.3</w:t>
            </w:r>
          </w:p>
        </w:tc>
        <w:tc>
          <w:tcPr>
            <w:tcW w:w="1609" w:type="dxa"/>
            <w:noWrap w:val="0"/>
            <w:vAlign w:val="center"/>
          </w:tcPr>
          <w:p w14:paraId="3087B839">
            <w:pPr>
              <w:spacing w:line="360" w:lineRule="auto"/>
              <w:jc w:val="center"/>
              <w:rPr>
                <w:rFonts w:hint="eastAsia" w:ascii="宋体" w:hAnsi="宋体"/>
                <w:sz w:val="21"/>
                <w:szCs w:val="21"/>
                <w:highlight w:val="none"/>
              </w:rPr>
            </w:pPr>
            <w:r>
              <w:rPr>
                <w:rFonts w:hint="eastAsia" w:ascii="宋体" w:hAnsi="宋体"/>
                <w:sz w:val="21"/>
                <w:szCs w:val="21"/>
                <w:highlight w:val="none"/>
              </w:rPr>
              <w:t>近年完成的类似项目的年份要求</w:t>
            </w:r>
          </w:p>
        </w:tc>
        <w:tc>
          <w:tcPr>
            <w:tcW w:w="6241" w:type="dxa"/>
            <w:gridSpan w:val="2"/>
            <w:noWrap w:val="0"/>
            <w:vAlign w:val="center"/>
          </w:tcPr>
          <w:p w14:paraId="75C84ABA">
            <w:pPr>
              <w:spacing w:line="360" w:lineRule="auto"/>
              <w:rPr>
                <w:rFonts w:hint="eastAsia" w:ascii="宋体" w:hAnsi="宋体"/>
                <w:sz w:val="21"/>
                <w:szCs w:val="21"/>
                <w:highlight w:val="none"/>
              </w:rPr>
            </w:pPr>
            <w:r>
              <w:rPr>
                <w:rFonts w:hint="eastAsia" w:ascii="宋体" w:hAnsi="宋体"/>
                <w:sz w:val="21"/>
                <w:szCs w:val="21"/>
                <w:highlight w:val="none"/>
              </w:rPr>
              <w:t>202</w:t>
            </w:r>
            <w:r>
              <w:rPr>
                <w:rFonts w:hint="eastAsia" w:ascii="宋体" w:hAnsi="宋体"/>
                <w:sz w:val="21"/>
                <w:szCs w:val="21"/>
                <w:highlight w:val="none"/>
                <w:lang w:val="en-US" w:eastAsia="zh-CN"/>
              </w:rPr>
              <w:t>5</w:t>
            </w:r>
            <w:r>
              <w:rPr>
                <w:rFonts w:hint="eastAsia" w:ascii="宋体" w:hAnsi="宋体"/>
                <w:sz w:val="21"/>
                <w:szCs w:val="21"/>
                <w:highlight w:val="none"/>
              </w:rPr>
              <w:t>年1月1日至今</w:t>
            </w:r>
          </w:p>
        </w:tc>
      </w:tr>
      <w:tr w14:paraId="285C37BE">
        <w:trPr>
          <w:trHeight w:val="728" w:hRule="atLeast"/>
          <w:jc w:val="center"/>
        </w:trPr>
        <w:tc>
          <w:tcPr>
            <w:tcW w:w="862" w:type="dxa"/>
            <w:noWrap w:val="0"/>
            <w:vAlign w:val="center"/>
          </w:tcPr>
          <w:p w14:paraId="26392C13">
            <w:pPr>
              <w:spacing w:line="360" w:lineRule="auto"/>
              <w:jc w:val="center"/>
              <w:rPr>
                <w:rFonts w:hint="eastAsia" w:ascii="宋体" w:hAnsi="宋体"/>
                <w:sz w:val="21"/>
                <w:szCs w:val="21"/>
                <w:highlight w:val="none"/>
              </w:rPr>
            </w:pPr>
            <w:r>
              <w:rPr>
                <w:rFonts w:hint="eastAsia" w:ascii="宋体" w:hAnsi="宋体"/>
                <w:sz w:val="21"/>
                <w:szCs w:val="21"/>
                <w:highlight w:val="none"/>
              </w:rPr>
              <w:t>3.5.5</w:t>
            </w:r>
          </w:p>
        </w:tc>
        <w:tc>
          <w:tcPr>
            <w:tcW w:w="1609" w:type="dxa"/>
            <w:noWrap w:val="0"/>
            <w:vAlign w:val="center"/>
          </w:tcPr>
          <w:p w14:paraId="37855451">
            <w:pPr>
              <w:spacing w:line="360" w:lineRule="auto"/>
              <w:jc w:val="center"/>
              <w:rPr>
                <w:rFonts w:hint="eastAsia" w:ascii="宋体" w:hAnsi="宋体"/>
                <w:sz w:val="21"/>
                <w:szCs w:val="21"/>
                <w:highlight w:val="none"/>
              </w:rPr>
            </w:pPr>
            <w:r>
              <w:rPr>
                <w:rFonts w:hint="eastAsia" w:ascii="宋体" w:hAnsi="宋体"/>
                <w:sz w:val="21"/>
                <w:szCs w:val="21"/>
                <w:highlight w:val="none"/>
              </w:rPr>
              <w:t>近年发生的诉讼及仲裁情况的年份要求</w:t>
            </w:r>
          </w:p>
        </w:tc>
        <w:tc>
          <w:tcPr>
            <w:tcW w:w="6241" w:type="dxa"/>
            <w:gridSpan w:val="2"/>
            <w:noWrap w:val="0"/>
            <w:vAlign w:val="center"/>
          </w:tcPr>
          <w:p w14:paraId="75B48B59">
            <w:pPr>
              <w:spacing w:line="360" w:lineRule="auto"/>
              <w:rPr>
                <w:rFonts w:hint="eastAsia" w:ascii="宋体" w:hAnsi="宋体"/>
                <w:sz w:val="21"/>
                <w:szCs w:val="21"/>
                <w:highlight w:val="none"/>
              </w:rPr>
            </w:pPr>
            <w:r>
              <w:rPr>
                <w:rFonts w:hint="eastAsia" w:ascii="宋体" w:hAnsi="宋体"/>
                <w:sz w:val="21"/>
                <w:szCs w:val="21"/>
                <w:highlight w:val="none"/>
              </w:rPr>
              <w:t>不提供</w:t>
            </w:r>
          </w:p>
        </w:tc>
      </w:tr>
      <w:tr w14:paraId="24540F5E">
        <w:trPr>
          <w:trHeight w:val="728" w:hRule="atLeast"/>
          <w:jc w:val="center"/>
        </w:trPr>
        <w:tc>
          <w:tcPr>
            <w:tcW w:w="862" w:type="dxa"/>
            <w:noWrap w:val="0"/>
            <w:vAlign w:val="center"/>
          </w:tcPr>
          <w:p w14:paraId="6D8BCD9D">
            <w:pPr>
              <w:spacing w:line="360" w:lineRule="auto"/>
              <w:jc w:val="center"/>
              <w:rPr>
                <w:rFonts w:hint="eastAsia" w:ascii="宋体" w:hAnsi="宋体"/>
                <w:b/>
                <w:sz w:val="21"/>
                <w:szCs w:val="21"/>
                <w:highlight w:val="none"/>
              </w:rPr>
            </w:pPr>
            <w:r>
              <w:rPr>
                <w:rFonts w:hint="eastAsia" w:ascii="宋体" w:hAnsi="宋体"/>
                <w:b/>
                <w:sz w:val="21"/>
                <w:szCs w:val="21"/>
                <w:highlight w:val="none"/>
              </w:rPr>
              <w:t>3.6.1</w:t>
            </w:r>
          </w:p>
        </w:tc>
        <w:tc>
          <w:tcPr>
            <w:tcW w:w="1609" w:type="dxa"/>
            <w:noWrap w:val="0"/>
            <w:vAlign w:val="center"/>
          </w:tcPr>
          <w:p w14:paraId="6DADAAC7">
            <w:pPr>
              <w:spacing w:line="360" w:lineRule="auto"/>
              <w:jc w:val="center"/>
              <w:rPr>
                <w:rFonts w:hint="eastAsia" w:ascii="宋体" w:hAnsi="宋体" w:cs="宋体"/>
                <w:b/>
                <w:sz w:val="21"/>
                <w:szCs w:val="21"/>
                <w:highlight w:val="none"/>
              </w:rPr>
            </w:pPr>
            <w:r>
              <w:rPr>
                <w:rFonts w:hint="eastAsia" w:ascii="宋体" w:hAnsi="宋体" w:cs="宋体"/>
                <w:b/>
                <w:sz w:val="21"/>
                <w:szCs w:val="21"/>
                <w:highlight w:val="none"/>
              </w:rPr>
              <w:t>是否允许递交备选参选方案</w:t>
            </w:r>
          </w:p>
        </w:tc>
        <w:tc>
          <w:tcPr>
            <w:tcW w:w="6241" w:type="dxa"/>
            <w:gridSpan w:val="2"/>
            <w:noWrap w:val="0"/>
            <w:vAlign w:val="center"/>
          </w:tcPr>
          <w:p w14:paraId="7597EE51">
            <w:pPr>
              <w:pStyle w:val="48"/>
              <w:tabs>
                <w:tab w:val="center" w:pos="4153"/>
                <w:tab w:val="right" w:pos="8306"/>
              </w:tabs>
              <w:snapToGrid w:val="0"/>
              <w:spacing w:before="0" w:beforeAutospacing="0" w:after="0" w:afterAutospacing="0" w:line="360" w:lineRule="auto"/>
              <w:ind w:left="-122" w:leftChars="-51" w:firstLine="63" w:firstLineChars="30"/>
              <w:rPr>
                <w:rFonts w:hint="eastAsia" w:cs="宋体"/>
                <w:b/>
                <w:sz w:val="21"/>
                <w:szCs w:val="21"/>
                <w:highlight w:val="none"/>
              </w:rPr>
            </w:pPr>
            <w:r>
              <w:rPr>
                <w:rFonts w:cs="宋体"/>
                <w:b/>
                <w:sz w:val="21"/>
                <w:szCs w:val="21"/>
                <w:highlight w:val="none"/>
              </w:rPr>
              <w:t>不允许</w:t>
            </w:r>
          </w:p>
        </w:tc>
      </w:tr>
      <w:tr w14:paraId="7D5043F1">
        <w:trPr>
          <w:trHeight w:val="364" w:hRule="atLeast"/>
          <w:jc w:val="center"/>
        </w:trPr>
        <w:tc>
          <w:tcPr>
            <w:tcW w:w="862" w:type="dxa"/>
            <w:noWrap w:val="0"/>
            <w:vAlign w:val="center"/>
          </w:tcPr>
          <w:p w14:paraId="57204592">
            <w:pPr>
              <w:spacing w:line="360" w:lineRule="auto"/>
              <w:jc w:val="center"/>
              <w:rPr>
                <w:rFonts w:hint="eastAsia" w:ascii="宋体" w:hAnsi="宋体"/>
                <w:b/>
                <w:sz w:val="21"/>
                <w:szCs w:val="21"/>
                <w:highlight w:val="none"/>
              </w:rPr>
            </w:pPr>
            <w:r>
              <w:rPr>
                <w:rFonts w:hint="eastAsia" w:ascii="宋体" w:hAnsi="宋体"/>
                <w:b/>
                <w:sz w:val="21"/>
                <w:szCs w:val="21"/>
                <w:highlight w:val="none"/>
              </w:rPr>
              <w:t>3.7.1</w:t>
            </w:r>
          </w:p>
        </w:tc>
        <w:tc>
          <w:tcPr>
            <w:tcW w:w="1609" w:type="dxa"/>
            <w:noWrap w:val="0"/>
            <w:vAlign w:val="center"/>
          </w:tcPr>
          <w:p w14:paraId="283A1BF5">
            <w:pPr>
              <w:spacing w:line="360" w:lineRule="auto"/>
              <w:jc w:val="center"/>
              <w:rPr>
                <w:rFonts w:hint="eastAsia" w:ascii="宋体" w:hAnsi="宋体"/>
                <w:b/>
                <w:sz w:val="21"/>
                <w:szCs w:val="21"/>
                <w:highlight w:val="none"/>
              </w:rPr>
            </w:pPr>
            <w:r>
              <w:rPr>
                <w:rFonts w:hint="eastAsia" w:ascii="宋体" w:hAnsi="宋体"/>
                <w:b/>
                <w:sz w:val="21"/>
                <w:szCs w:val="21"/>
                <w:highlight w:val="none"/>
              </w:rPr>
              <w:t>比选申请文件格式</w:t>
            </w:r>
          </w:p>
        </w:tc>
        <w:tc>
          <w:tcPr>
            <w:tcW w:w="6241" w:type="dxa"/>
            <w:gridSpan w:val="2"/>
            <w:noWrap w:val="0"/>
            <w:vAlign w:val="center"/>
          </w:tcPr>
          <w:p w14:paraId="62113ED3">
            <w:pPr>
              <w:spacing w:line="360" w:lineRule="auto"/>
              <w:ind w:left="17"/>
              <w:rPr>
                <w:rFonts w:ascii="宋体" w:hAnsi="宋体"/>
                <w:b/>
                <w:sz w:val="21"/>
                <w:szCs w:val="21"/>
                <w:highlight w:val="none"/>
              </w:rPr>
            </w:pPr>
            <w:r>
              <w:rPr>
                <w:rFonts w:hint="eastAsia" w:ascii="宋体" w:hAnsi="宋体"/>
                <w:b/>
                <w:sz w:val="21"/>
                <w:szCs w:val="21"/>
                <w:highlight w:val="none"/>
              </w:rPr>
              <w:t>（1）比选申请人不得对比选申请文件格式中的实质性内容进行删减或修改（注解除外）。</w:t>
            </w:r>
          </w:p>
          <w:p w14:paraId="1E5A97D6">
            <w:pPr>
              <w:spacing w:line="360" w:lineRule="auto"/>
              <w:ind w:left="17"/>
              <w:rPr>
                <w:rFonts w:hint="eastAsia" w:ascii="宋体" w:hAnsi="宋体"/>
                <w:b/>
                <w:sz w:val="21"/>
                <w:szCs w:val="21"/>
                <w:highlight w:val="none"/>
              </w:rPr>
            </w:pPr>
            <w:r>
              <w:rPr>
                <w:rFonts w:hint="eastAsia" w:ascii="宋体" w:hAnsi="宋体"/>
                <w:b/>
                <w:sz w:val="21"/>
                <w:szCs w:val="21"/>
                <w:highlight w:val="none"/>
              </w:rPr>
              <w:t>（2）比选申请人可以在格式内容之后另行说明和增加相关的内容。另行说明或自行增加的内容、以及按比选申请文件格式在空格（下划线）由比选申请人填写的内容，不得与比选文件的强制性审查标准和禁止性规定相抵触。</w:t>
            </w:r>
          </w:p>
          <w:p w14:paraId="1903E54A">
            <w:pPr>
              <w:spacing w:line="360" w:lineRule="auto"/>
              <w:ind w:left="17"/>
              <w:rPr>
                <w:rFonts w:hint="eastAsia" w:ascii="宋体" w:hAnsi="宋体"/>
                <w:b/>
                <w:sz w:val="21"/>
                <w:szCs w:val="21"/>
                <w:highlight w:val="none"/>
              </w:rPr>
            </w:pPr>
            <w:r>
              <w:rPr>
                <w:rFonts w:hint="eastAsia" w:ascii="宋体" w:hAnsi="宋体"/>
                <w:b/>
                <w:sz w:val="21"/>
                <w:szCs w:val="21"/>
                <w:highlight w:val="none"/>
              </w:rPr>
              <w:t>（3）比选申请文件应对比选文件提出的所有实质性要求和条件作出实质性响应，并且实质性响应的内容不得互相矛盾。</w:t>
            </w:r>
          </w:p>
          <w:p w14:paraId="5E7EB144">
            <w:pPr>
              <w:spacing w:line="360" w:lineRule="auto"/>
              <w:ind w:left="17"/>
              <w:rPr>
                <w:rFonts w:hint="eastAsia" w:ascii="宋体" w:hAnsi="宋体"/>
                <w:b/>
                <w:sz w:val="21"/>
                <w:szCs w:val="21"/>
                <w:highlight w:val="none"/>
              </w:rPr>
            </w:pPr>
            <w:r>
              <w:rPr>
                <w:rFonts w:hint="eastAsia" w:ascii="宋体" w:hAnsi="宋体"/>
                <w:b/>
                <w:sz w:val="21"/>
                <w:szCs w:val="21"/>
                <w:highlight w:val="none"/>
              </w:rPr>
              <w:t>（4）比选申请文件应内容完整，字迹清晰可辨。字迹模糊导致无法确认关键技术方案、关键工期、关键质量保证措施、参选价格的，应否决其参选。</w:t>
            </w:r>
          </w:p>
          <w:p w14:paraId="73151170">
            <w:pPr>
              <w:spacing w:line="360" w:lineRule="auto"/>
              <w:rPr>
                <w:rFonts w:hint="eastAsia" w:ascii="宋体" w:hAnsi="宋体" w:cs="宋体"/>
                <w:b/>
                <w:sz w:val="21"/>
                <w:szCs w:val="21"/>
                <w:highlight w:val="none"/>
              </w:rPr>
            </w:pPr>
            <w:r>
              <w:rPr>
                <w:rFonts w:hint="eastAsia" w:ascii="宋体" w:hAnsi="宋体"/>
                <w:b/>
                <w:sz w:val="21"/>
                <w:szCs w:val="21"/>
                <w:highlight w:val="none"/>
              </w:rPr>
              <w:t>（5）比选申请文件所附证明材料应内容完整并清晰可辨。所附证明材料内容不完整或字迹模糊的，评审委员会可要求比选申请人提供原件核验。</w:t>
            </w:r>
          </w:p>
        </w:tc>
      </w:tr>
      <w:tr w14:paraId="1C034012">
        <w:trPr>
          <w:trHeight w:val="364" w:hRule="atLeast"/>
          <w:jc w:val="center"/>
        </w:trPr>
        <w:tc>
          <w:tcPr>
            <w:tcW w:w="862" w:type="dxa"/>
            <w:noWrap w:val="0"/>
            <w:vAlign w:val="center"/>
          </w:tcPr>
          <w:p w14:paraId="4924A909">
            <w:pPr>
              <w:spacing w:line="360" w:lineRule="auto"/>
              <w:jc w:val="center"/>
              <w:rPr>
                <w:rFonts w:hint="eastAsia" w:ascii="宋体" w:hAnsi="宋体"/>
                <w:b/>
                <w:sz w:val="21"/>
                <w:szCs w:val="21"/>
                <w:highlight w:val="none"/>
              </w:rPr>
            </w:pPr>
            <w:r>
              <w:rPr>
                <w:rFonts w:hint="eastAsia" w:ascii="宋体" w:hAnsi="宋体"/>
                <w:b/>
                <w:sz w:val="21"/>
                <w:szCs w:val="21"/>
                <w:highlight w:val="none"/>
              </w:rPr>
              <w:t>3.7.3（1）</w:t>
            </w:r>
          </w:p>
        </w:tc>
        <w:tc>
          <w:tcPr>
            <w:tcW w:w="1609" w:type="dxa"/>
            <w:noWrap w:val="0"/>
            <w:vAlign w:val="center"/>
          </w:tcPr>
          <w:p w14:paraId="2F532B90">
            <w:pPr>
              <w:spacing w:line="360" w:lineRule="auto"/>
              <w:jc w:val="center"/>
              <w:rPr>
                <w:rFonts w:hint="eastAsia" w:ascii="宋体" w:hAnsi="宋体"/>
                <w:b/>
                <w:sz w:val="21"/>
                <w:szCs w:val="21"/>
                <w:highlight w:val="none"/>
              </w:rPr>
            </w:pPr>
            <w:r>
              <w:rPr>
                <w:rFonts w:hint="eastAsia" w:ascii="宋体" w:hAnsi="宋体"/>
                <w:b/>
                <w:sz w:val="21"/>
                <w:szCs w:val="21"/>
                <w:highlight w:val="none"/>
              </w:rPr>
              <w:t>签字、盖章要求</w:t>
            </w:r>
          </w:p>
        </w:tc>
        <w:tc>
          <w:tcPr>
            <w:tcW w:w="6241" w:type="dxa"/>
            <w:gridSpan w:val="2"/>
            <w:noWrap w:val="0"/>
            <w:vAlign w:val="center"/>
          </w:tcPr>
          <w:p w14:paraId="14FD4888">
            <w:pPr>
              <w:pStyle w:val="19"/>
              <w:widowControl w:val="0"/>
              <w:spacing w:line="360" w:lineRule="auto"/>
              <w:ind w:left="107" w:right="149" w:hanging="2"/>
              <w:jc w:val="both"/>
              <w:rPr>
                <w:rFonts w:ascii="宋体" w:hAnsi="宋体"/>
                <w:b/>
                <w:kern w:val="2"/>
                <w:sz w:val="21"/>
                <w:szCs w:val="21"/>
                <w:highlight w:val="none"/>
              </w:rPr>
            </w:pPr>
            <w:r>
              <w:rPr>
                <w:rFonts w:hint="eastAsia" w:ascii="宋体" w:hAnsi="宋体"/>
                <w:b/>
                <w:kern w:val="2"/>
                <w:sz w:val="21"/>
                <w:szCs w:val="21"/>
                <w:highlight w:val="none"/>
              </w:rPr>
              <w:t>（</w:t>
            </w:r>
            <w:r>
              <w:rPr>
                <w:rFonts w:ascii="宋体" w:hAnsi="宋体"/>
                <w:b/>
                <w:kern w:val="2"/>
                <w:sz w:val="21"/>
                <w:szCs w:val="21"/>
                <w:highlight w:val="none"/>
              </w:rPr>
              <w:t>1</w:t>
            </w:r>
            <w:r>
              <w:rPr>
                <w:rFonts w:hint="eastAsia" w:ascii="宋体" w:hAnsi="宋体"/>
                <w:b/>
                <w:kern w:val="2"/>
                <w:sz w:val="21"/>
                <w:szCs w:val="21"/>
                <w:highlight w:val="none"/>
              </w:rPr>
              <w:t>）所有要求授权委托人签字的地方都应用不褪色的墨水或签字笔由本人亲笔手写签字（包括姓和名），不得用盖章（如签名章、签字章等）代替，也不得由他人代签。</w:t>
            </w:r>
          </w:p>
          <w:p w14:paraId="72CD1560">
            <w:pPr>
              <w:pStyle w:val="19"/>
              <w:widowControl w:val="0"/>
              <w:spacing w:line="360" w:lineRule="auto"/>
              <w:ind w:left="107" w:right="149" w:hanging="2"/>
              <w:jc w:val="both"/>
              <w:rPr>
                <w:rFonts w:ascii="宋体" w:hAnsi="宋体"/>
                <w:b/>
                <w:kern w:val="2"/>
                <w:sz w:val="21"/>
                <w:szCs w:val="21"/>
                <w:highlight w:val="none"/>
              </w:rPr>
            </w:pPr>
            <w:r>
              <w:rPr>
                <w:rFonts w:hint="eastAsia" w:ascii="宋体" w:hAnsi="宋体"/>
                <w:b/>
                <w:kern w:val="2"/>
                <w:sz w:val="21"/>
                <w:szCs w:val="21"/>
                <w:highlight w:val="none"/>
              </w:rPr>
              <w:t>（</w:t>
            </w:r>
            <w:r>
              <w:rPr>
                <w:rFonts w:ascii="宋体" w:hAnsi="宋体"/>
                <w:b/>
                <w:kern w:val="2"/>
                <w:sz w:val="21"/>
                <w:szCs w:val="21"/>
                <w:highlight w:val="none"/>
              </w:rPr>
              <w:t>2</w:t>
            </w:r>
            <w:r>
              <w:rPr>
                <w:rFonts w:hint="eastAsia" w:ascii="宋体" w:hAnsi="宋体"/>
                <w:b/>
                <w:kern w:val="2"/>
                <w:sz w:val="21"/>
                <w:szCs w:val="21"/>
                <w:highlight w:val="none"/>
              </w:rPr>
              <w:t>）所有要求比选申请人盖章的地方都应加盖比选申请人单位（法定名称）公章，不得使用专用印章（如经济合同章、比选专用章等）或下属单位印章代替，否则视为无效参选。</w:t>
            </w:r>
          </w:p>
          <w:p w14:paraId="2728926F">
            <w:pPr>
              <w:pStyle w:val="19"/>
              <w:widowControl w:val="0"/>
              <w:spacing w:line="360" w:lineRule="auto"/>
              <w:ind w:left="107" w:right="149" w:hanging="2"/>
              <w:jc w:val="both"/>
              <w:rPr>
                <w:rFonts w:ascii="宋体" w:hAnsi="宋体"/>
                <w:b/>
                <w:kern w:val="2"/>
                <w:sz w:val="21"/>
                <w:szCs w:val="21"/>
                <w:highlight w:val="none"/>
              </w:rPr>
            </w:pPr>
            <w:r>
              <w:rPr>
                <w:rFonts w:hint="eastAsia" w:ascii="宋体" w:hAnsi="宋体"/>
                <w:b/>
                <w:kern w:val="2"/>
                <w:sz w:val="21"/>
                <w:szCs w:val="21"/>
                <w:highlight w:val="none"/>
              </w:rPr>
              <w:t>（</w:t>
            </w:r>
            <w:r>
              <w:rPr>
                <w:rFonts w:ascii="宋体" w:hAnsi="宋体"/>
                <w:b/>
                <w:kern w:val="2"/>
                <w:sz w:val="21"/>
                <w:szCs w:val="21"/>
                <w:highlight w:val="none"/>
              </w:rPr>
              <w:t>3</w:t>
            </w:r>
            <w:r>
              <w:rPr>
                <w:rFonts w:hint="eastAsia" w:ascii="宋体" w:hAnsi="宋体"/>
                <w:b/>
                <w:kern w:val="2"/>
                <w:sz w:val="21"/>
                <w:szCs w:val="21"/>
                <w:highlight w:val="none"/>
              </w:rPr>
              <w:t>）比选申请文件格式中要求比选申请人“法定代表人（或单位负责人）或其委托代理人”签字或盖章的，如法定代表人（或单位负责人）亲自参选而不委托代理人参选的，由法定代表人（或单位负责人）签字或盖章；法定代表人（或单位负责人）授权委托代理人参选的，由委托代理人签字，也可由法定代表人（或单位负责人）签字或盖章。</w:t>
            </w:r>
          </w:p>
          <w:p w14:paraId="47FD741E">
            <w:pPr>
              <w:pStyle w:val="19"/>
              <w:widowControl w:val="0"/>
              <w:spacing w:line="360" w:lineRule="auto"/>
              <w:ind w:left="107" w:right="149" w:hanging="2"/>
              <w:jc w:val="both"/>
              <w:rPr>
                <w:rFonts w:hint="eastAsia" w:ascii="宋体" w:hAnsi="宋体"/>
                <w:b/>
                <w:kern w:val="2"/>
                <w:sz w:val="21"/>
                <w:szCs w:val="21"/>
                <w:highlight w:val="none"/>
              </w:rPr>
            </w:pPr>
            <w:r>
              <w:rPr>
                <w:rFonts w:hint="eastAsia" w:ascii="宋体" w:hAnsi="宋体"/>
                <w:b/>
                <w:kern w:val="2"/>
                <w:sz w:val="21"/>
                <w:szCs w:val="21"/>
                <w:highlight w:val="none"/>
              </w:rPr>
              <w:t>（</w:t>
            </w:r>
            <w:r>
              <w:rPr>
                <w:rFonts w:ascii="宋体" w:hAnsi="宋体"/>
                <w:b/>
                <w:kern w:val="2"/>
                <w:sz w:val="21"/>
                <w:szCs w:val="21"/>
                <w:highlight w:val="none"/>
              </w:rPr>
              <w:t>4</w:t>
            </w:r>
            <w:r>
              <w:rPr>
                <w:rFonts w:hint="eastAsia" w:ascii="宋体" w:hAnsi="宋体"/>
                <w:b/>
                <w:kern w:val="2"/>
                <w:sz w:val="21"/>
                <w:szCs w:val="21"/>
                <w:highlight w:val="none"/>
              </w:rPr>
              <w:t>）比选申请文件若有修改，修改处应由比选申请人法定代表人（或单位负责人）或其委托代理人签字（或盖章）或加盖单位章。</w:t>
            </w:r>
          </w:p>
          <w:p w14:paraId="0317A699">
            <w:pPr>
              <w:pStyle w:val="19"/>
              <w:widowControl w:val="0"/>
              <w:spacing w:line="360" w:lineRule="auto"/>
              <w:ind w:left="107" w:right="149" w:hanging="2"/>
              <w:jc w:val="both"/>
              <w:rPr>
                <w:rFonts w:ascii="宋体" w:hAnsi="宋体"/>
                <w:b/>
                <w:kern w:val="2"/>
                <w:sz w:val="21"/>
                <w:szCs w:val="21"/>
                <w:highlight w:val="none"/>
              </w:rPr>
            </w:pPr>
            <w:r>
              <w:rPr>
                <w:rFonts w:hint="eastAsia" w:ascii="宋体" w:hAnsi="宋体"/>
                <w:b/>
                <w:sz w:val="21"/>
                <w:szCs w:val="21"/>
                <w:highlight w:val="none"/>
              </w:rPr>
              <w:t>（5）</w:t>
            </w:r>
            <w:r>
              <w:rPr>
                <w:rFonts w:hint="eastAsia" w:ascii="宋体" w:hAnsi="宋体"/>
                <w:b/>
                <w:kern w:val="2"/>
                <w:sz w:val="21"/>
                <w:szCs w:val="21"/>
                <w:highlight w:val="none"/>
              </w:rPr>
              <w:t>比选申请文件中提供的证明材料：</w:t>
            </w:r>
            <w:bookmarkStart w:id="79" w:name="统一加盖电子印章D"/>
          </w:p>
          <w:p w14:paraId="70A7E028">
            <w:pPr>
              <w:pStyle w:val="19"/>
              <w:widowControl w:val="0"/>
              <w:spacing w:line="360" w:lineRule="auto"/>
              <w:ind w:left="107" w:right="149" w:hanging="2"/>
              <w:jc w:val="both"/>
              <w:rPr>
                <w:rFonts w:hint="eastAsia" w:ascii="宋体" w:hAnsi="宋体"/>
                <w:b/>
                <w:kern w:val="2"/>
                <w:sz w:val="21"/>
                <w:szCs w:val="21"/>
                <w:highlight w:val="none"/>
              </w:rPr>
            </w:pPr>
            <w:r>
              <w:rPr>
                <w:rFonts w:hint="eastAsia" w:ascii="宋体" w:hAnsi="宋体"/>
                <w:b/>
                <w:kern w:val="2"/>
                <w:sz w:val="21"/>
                <w:szCs w:val="21"/>
                <w:highlight w:val="none"/>
              </w:rPr>
              <w:t>应统一由比选申请人加盖比选申请人单位（法定名称）章。</w:t>
            </w:r>
            <w:bookmarkEnd w:id="79"/>
          </w:p>
        </w:tc>
      </w:tr>
      <w:tr w14:paraId="2DC6D8FB">
        <w:trPr>
          <w:trHeight w:val="364" w:hRule="atLeast"/>
          <w:jc w:val="center"/>
        </w:trPr>
        <w:tc>
          <w:tcPr>
            <w:tcW w:w="862" w:type="dxa"/>
            <w:noWrap w:val="0"/>
            <w:vAlign w:val="center"/>
          </w:tcPr>
          <w:p w14:paraId="00A2607F">
            <w:pPr>
              <w:spacing w:line="360" w:lineRule="auto"/>
              <w:jc w:val="center"/>
              <w:rPr>
                <w:rFonts w:hint="eastAsia" w:ascii="宋体" w:hAnsi="宋体"/>
                <w:sz w:val="21"/>
                <w:szCs w:val="21"/>
                <w:highlight w:val="none"/>
              </w:rPr>
            </w:pPr>
            <w:r>
              <w:rPr>
                <w:rFonts w:hint="eastAsia" w:ascii="宋体" w:hAnsi="宋体"/>
                <w:sz w:val="21"/>
                <w:szCs w:val="21"/>
                <w:highlight w:val="none"/>
              </w:rPr>
              <w:t>3.7.3（2）</w:t>
            </w:r>
          </w:p>
        </w:tc>
        <w:tc>
          <w:tcPr>
            <w:tcW w:w="1609" w:type="dxa"/>
            <w:noWrap w:val="0"/>
            <w:vAlign w:val="center"/>
          </w:tcPr>
          <w:p w14:paraId="40DAF3FC">
            <w:pPr>
              <w:spacing w:line="360" w:lineRule="auto"/>
              <w:jc w:val="center"/>
              <w:rPr>
                <w:rFonts w:hint="eastAsia" w:ascii="宋体" w:hAnsi="宋体"/>
                <w:b/>
                <w:sz w:val="21"/>
                <w:szCs w:val="21"/>
                <w:highlight w:val="none"/>
              </w:rPr>
            </w:pPr>
            <w:r>
              <w:rPr>
                <w:rFonts w:ascii="宋体" w:hAnsi="宋体"/>
                <w:b/>
                <w:sz w:val="21"/>
                <w:szCs w:val="21"/>
                <w:highlight w:val="none"/>
              </w:rPr>
              <w:t>比选申请文件副本份数及其他要求</w:t>
            </w:r>
          </w:p>
        </w:tc>
        <w:tc>
          <w:tcPr>
            <w:tcW w:w="6241" w:type="dxa"/>
            <w:gridSpan w:val="2"/>
            <w:noWrap w:val="0"/>
            <w:vAlign w:val="center"/>
          </w:tcPr>
          <w:p w14:paraId="721060D6">
            <w:pPr>
              <w:spacing w:line="360" w:lineRule="auto"/>
              <w:ind w:left="17"/>
              <w:rPr>
                <w:rFonts w:ascii="宋体" w:hAnsi="宋体"/>
                <w:sz w:val="21"/>
                <w:szCs w:val="21"/>
                <w:highlight w:val="none"/>
              </w:rPr>
            </w:pPr>
            <w:r>
              <w:rPr>
                <w:rFonts w:hint="eastAsia" w:ascii="宋体" w:hAnsi="宋体"/>
                <w:sz w:val="21"/>
                <w:szCs w:val="21"/>
                <w:highlight w:val="none"/>
              </w:rPr>
              <w:t>（1）比选申请人应提供比选申请文件壹份正本，</w:t>
            </w:r>
            <w:r>
              <w:rPr>
                <w:rFonts w:hint="eastAsia" w:ascii="宋体" w:hAnsi="宋体"/>
                <w:sz w:val="21"/>
                <w:szCs w:val="21"/>
                <w:highlight w:val="none"/>
                <w:u w:val="single"/>
              </w:rPr>
              <w:t>壹</w:t>
            </w:r>
            <w:r>
              <w:rPr>
                <w:rFonts w:hint="eastAsia" w:ascii="宋体" w:hAnsi="宋体"/>
                <w:sz w:val="21"/>
                <w:szCs w:val="21"/>
                <w:highlight w:val="none"/>
              </w:rPr>
              <w:t>份副本，</w:t>
            </w:r>
            <w:r>
              <w:rPr>
                <w:rFonts w:ascii="宋体" w:hAnsi="宋体"/>
                <w:sz w:val="21"/>
                <w:szCs w:val="21"/>
                <w:highlight w:val="none"/>
              </w:rPr>
              <w:t>电子文件</w:t>
            </w:r>
            <w:r>
              <w:rPr>
                <w:rFonts w:hint="eastAsia" w:ascii="宋体" w:hAnsi="宋体"/>
                <w:sz w:val="21"/>
                <w:szCs w:val="21"/>
                <w:highlight w:val="none"/>
              </w:rPr>
              <w:t>壹</w:t>
            </w:r>
            <w:r>
              <w:rPr>
                <w:rFonts w:ascii="宋体" w:hAnsi="宋体"/>
                <w:sz w:val="21"/>
                <w:szCs w:val="21"/>
                <w:highlight w:val="none"/>
              </w:rPr>
              <w:t>份</w:t>
            </w:r>
            <w:r>
              <w:rPr>
                <w:rFonts w:ascii="宋体" w:hAnsi="宋体"/>
                <w:b/>
                <w:sz w:val="21"/>
                <w:szCs w:val="21"/>
                <w:highlight w:val="none"/>
              </w:rPr>
              <w:t>（</w:t>
            </w:r>
            <w:r>
              <w:rPr>
                <w:rFonts w:hint="eastAsia" w:ascii="宋体" w:hAnsi="宋体"/>
                <w:b/>
                <w:sz w:val="21"/>
                <w:szCs w:val="21"/>
                <w:highlight w:val="none"/>
              </w:rPr>
              <w:t>U盘，Word可编辑版+PDF盖章扫描件</w:t>
            </w:r>
            <w:r>
              <w:rPr>
                <w:rFonts w:ascii="宋体" w:hAnsi="宋体"/>
                <w:b/>
                <w:sz w:val="21"/>
                <w:szCs w:val="21"/>
                <w:highlight w:val="none"/>
              </w:rPr>
              <w:t>）</w:t>
            </w:r>
            <w:r>
              <w:rPr>
                <w:rFonts w:hint="eastAsia" w:ascii="宋体" w:hAnsi="宋体"/>
                <w:sz w:val="21"/>
                <w:szCs w:val="21"/>
                <w:highlight w:val="none"/>
              </w:rPr>
              <w:t>；</w:t>
            </w:r>
          </w:p>
          <w:p w14:paraId="7A58CE4C">
            <w:pPr>
              <w:spacing w:line="360" w:lineRule="auto"/>
              <w:rPr>
                <w:rFonts w:hint="eastAsia" w:ascii="宋体" w:hAnsi="宋体"/>
                <w:sz w:val="21"/>
                <w:szCs w:val="21"/>
                <w:highlight w:val="none"/>
              </w:rPr>
            </w:pPr>
            <w:r>
              <w:rPr>
                <w:rFonts w:hint="eastAsia" w:ascii="宋体" w:hAnsi="宋体"/>
                <w:sz w:val="21"/>
                <w:szCs w:val="21"/>
                <w:highlight w:val="none"/>
              </w:rPr>
              <w:t>（2</w:t>
            </w:r>
            <w:r>
              <w:rPr>
                <w:rFonts w:ascii="宋体" w:hAnsi="宋体"/>
                <w:sz w:val="21"/>
                <w:szCs w:val="21"/>
                <w:highlight w:val="none"/>
              </w:rPr>
              <w:t>）</w:t>
            </w:r>
            <w:r>
              <w:rPr>
                <w:rFonts w:hint="eastAsia" w:ascii="宋体" w:hAnsi="宋体"/>
                <w:sz w:val="21"/>
                <w:szCs w:val="21"/>
                <w:highlight w:val="none"/>
              </w:rPr>
              <w:t>比选申请文件副本可由其正本复制（复印）而成（包括证明文件），当副本和正本不一致时，以正本为准，但副本和正本内容不一致造成的评审差错由比选申请人自行承担。</w:t>
            </w:r>
          </w:p>
        </w:tc>
      </w:tr>
      <w:tr w14:paraId="1D9F1974">
        <w:trPr>
          <w:trHeight w:val="364" w:hRule="atLeast"/>
          <w:jc w:val="center"/>
        </w:trPr>
        <w:tc>
          <w:tcPr>
            <w:tcW w:w="862" w:type="dxa"/>
            <w:noWrap w:val="0"/>
            <w:vAlign w:val="center"/>
          </w:tcPr>
          <w:p w14:paraId="10395708">
            <w:pPr>
              <w:spacing w:line="360" w:lineRule="auto"/>
              <w:jc w:val="center"/>
              <w:rPr>
                <w:rFonts w:hint="eastAsia" w:ascii="宋体" w:hAnsi="宋体"/>
                <w:sz w:val="21"/>
                <w:szCs w:val="21"/>
                <w:highlight w:val="none"/>
              </w:rPr>
            </w:pPr>
            <w:r>
              <w:rPr>
                <w:rFonts w:hint="eastAsia" w:ascii="宋体" w:hAnsi="宋体"/>
                <w:sz w:val="21"/>
                <w:szCs w:val="21"/>
                <w:highlight w:val="none"/>
              </w:rPr>
              <w:t>3.7.3（3）</w:t>
            </w:r>
          </w:p>
        </w:tc>
        <w:tc>
          <w:tcPr>
            <w:tcW w:w="1609" w:type="dxa"/>
            <w:noWrap w:val="0"/>
            <w:vAlign w:val="center"/>
          </w:tcPr>
          <w:p w14:paraId="6510D256">
            <w:pPr>
              <w:spacing w:line="360" w:lineRule="auto"/>
              <w:jc w:val="center"/>
              <w:rPr>
                <w:rFonts w:hint="eastAsia" w:ascii="宋体" w:hAnsi="宋体"/>
                <w:b/>
                <w:sz w:val="21"/>
                <w:szCs w:val="21"/>
                <w:highlight w:val="none"/>
              </w:rPr>
            </w:pPr>
            <w:r>
              <w:rPr>
                <w:rFonts w:hint="eastAsia" w:ascii="宋体" w:hAnsi="宋体"/>
                <w:b/>
                <w:sz w:val="21"/>
                <w:szCs w:val="21"/>
                <w:highlight w:val="none"/>
              </w:rPr>
              <w:t>装订要求</w:t>
            </w:r>
          </w:p>
        </w:tc>
        <w:tc>
          <w:tcPr>
            <w:tcW w:w="6241" w:type="dxa"/>
            <w:gridSpan w:val="2"/>
            <w:noWrap w:val="0"/>
            <w:vAlign w:val="center"/>
          </w:tcPr>
          <w:p w14:paraId="33512989">
            <w:pPr>
              <w:spacing w:line="360" w:lineRule="auto"/>
              <w:ind w:left="19" w:leftChars="8"/>
              <w:rPr>
                <w:rFonts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比选申请文件宜采用胶装方式装订，不得采用活页夹等可随时拆换的方式装订，不得有零散页。</w:t>
            </w:r>
          </w:p>
          <w:p w14:paraId="5E5C0E69">
            <w:pPr>
              <w:spacing w:line="360" w:lineRule="auto"/>
              <w:rPr>
                <w:rFonts w:hint="eastAsia" w:ascii="宋体" w:hAnsi="宋体"/>
                <w:sz w:val="21"/>
                <w:szCs w:val="21"/>
                <w:highlight w:val="none"/>
              </w:rPr>
            </w:pPr>
            <w:r>
              <w:rPr>
                <w:rFonts w:hint="eastAsia" w:ascii="宋体" w:hAnsi="宋体"/>
                <w:sz w:val="21"/>
                <w:szCs w:val="21"/>
                <w:highlight w:val="none"/>
                <w:lang w:val="zh-CN"/>
              </w:rPr>
              <w:t>（</w:t>
            </w:r>
            <w:r>
              <w:rPr>
                <w:rFonts w:ascii="宋体" w:hAnsi="宋体"/>
                <w:sz w:val="21"/>
                <w:szCs w:val="21"/>
                <w:highlight w:val="none"/>
              </w:rPr>
              <w:t xml:space="preserve">2）若同一册的内容较多，可装订成若干分册， </w:t>
            </w:r>
            <w:r>
              <w:rPr>
                <w:rFonts w:hint="eastAsia" w:ascii="宋体" w:hAnsi="宋体"/>
                <w:sz w:val="21"/>
                <w:szCs w:val="21"/>
                <w:highlight w:val="none"/>
              </w:rPr>
              <w:t>但应当在封面标明次序及册数。</w:t>
            </w:r>
          </w:p>
        </w:tc>
      </w:tr>
      <w:tr w14:paraId="076CAF57">
        <w:trPr>
          <w:trHeight w:val="877" w:hRule="atLeast"/>
          <w:jc w:val="center"/>
        </w:trPr>
        <w:tc>
          <w:tcPr>
            <w:tcW w:w="862" w:type="dxa"/>
            <w:noWrap w:val="0"/>
            <w:vAlign w:val="center"/>
          </w:tcPr>
          <w:p w14:paraId="53702A1B">
            <w:pPr>
              <w:spacing w:line="360" w:lineRule="auto"/>
              <w:jc w:val="center"/>
              <w:rPr>
                <w:rFonts w:hint="eastAsia" w:ascii="宋体" w:hAnsi="宋体"/>
                <w:sz w:val="21"/>
                <w:szCs w:val="21"/>
                <w:highlight w:val="none"/>
              </w:rPr>
            </w:pPr>
            <w:r>
              <w:rPr>
                <w:rFonts w:hint="eastAsia" w:ascii="宋体" w:hAnsi="宋体"/>
                <w:sz w:val="21"/>
                <w:szCs w:val="21"/>
                <w:highlight w:val="none"/>
              </w:rPr>
              <w:t>4.1.1</w:t>
            </w:r>
          </w:p>
        </w:tc>
        <w:tc>
          <w:tcPr>
            <w:tcW w:w="1609" w:type="dxa"/>
            <w:noWrap w:val="0"/>
            <w:vAlign w:val="center"/>
          </w:tcPr>
          <w:p w14:paraId="04B72E9B">
            <w:pPr>
              <w:spacing w:line="360" w:lineRule="auto"/>
              <w:jc w:val="center"/>
              <w:rPr>
                <w:rFonts w:hint="eastAsia" w:ascii="宋体" w:hAnsi="宋体"/>
                <w:sz w:val="21"/>
                <w:szCs w:val="21"/>
                <w:highlight w:val="none"/>
              </w:rPr>
            </w:pPr>
            <w:r>
              <w:rPr>
                <w:rFonts w:hint="eastAsia" w:ascii="宋体" w:hAnsi="宋体"/>
                <w:sz w:val="21"/>
                <w:szCs w:val="21"/>
                <w:highlight w:val="none"/>
              </w:rPr>
              <w:t>比选申请文件的包装和密封</w:t>
            </w:r>
          </w:p>
        </w:tc>
        <w:tc>
          <w:tcPr>
            <w:tcW w:w="6241" w:type="dxa"/>
            <w:gridSpan w:val="2"/>
            <w:noWrap w:val="0"/>
            <w:vAlign w:val="center"/>
          </w:tcPr>
          <w:p w14:paraId="0D254398">
            <w:pPr>
              <w:spacing w:line="360" w:lineRule="auto"/>
              <w:rPr>
                <w:rFonts w:hint="eastAsia" w:ascii="宋体" w:hAnsi="宋体"/>
                <w:sz w:val="21"/>
                <w:szCs w:val="21"/>
                <w:highlight w:val="none"/>
              </w:rPr>
            </w:pPr>
            <w:r>
              <w:rPr>
                <w:rFonts w:hint="eastAsia" w:ascii="宋体" w:hAnsi="宋体"/>
                <w:sz w:val="21"/>
                <w:szCs w:val="21"/>
                <w:highlight w:val="none"/>
              </w:rPr>
              <w:t>比选申请文件的正本、副本和电子文件应密封完好(包装形式不限)，封口处加盖比选申请人单位章。</w:t>
            </w:r>
          </w:p>
        </w:tc>
      </w:tr>
      <w:tr w14:paraId="35CAAFC7">
        <w:trPr>
          <w:trHeight w:val="680" w:hRule="atLeast"/>
          <w:jc w:val="center"/>
        </w:trPr>
        <w:tc>
          <w:tcPr>
            <w:tcW w:w="862" w:type="dxa"/>
            <w:noWrap w:val="0"/>
            <w:vAlign w:val="center"/>
          </w:tcPr>
          <w:p w14:paraId="0C8FFB93">
            <w:pPr>
              <w:spacing w:line="360" w:lineRule="auto"/>
              <w:jc w:val="center"/>
              <w:rPr>
                <w:rFonts w:hint="eastAsia" w:ascii="宋体" w:hAnsi="宋体"/>
                <w:sz w:val="21"/>
                <w:szCs w:val="21"/>
                <w:highlight w:val="none"/>
              </w:rPr>
            </w:pPr>
            <w:r>
              <w:rPr>
                <w:rFonts w:hint="eastAsia" w:ascii="宋体" w:hAnsi="宋体"/>
                <w:sz w:val="21"/>
                <w:szCs w:val="21"/>
                <w:highlight w:val="none"/>
              </w:rPr>
              <w:t>4.1.2</w:t>
            </w:r>
          </w:p>
        </w:tc>
        <w:tc>
          <w:tcPr>
            <w:tcW w:w="1609" w:type="dxa"/>
            <w:noWrap w:val="0"/>
            <w:vAlign w:val="center"/>
          </w:tcPr>
          <w:p w14:paraId="28D65350">
            <w:pPr>
              <w:spacing w:line="360" w:lineRule="auto"/>
              <w:jc w:val="center"/>
              <w:rPr>
                <w:rFonts w:hint="eastAsia" w:ascii="宋体" w:hAnsi="宋体"/>
                <w:sz w:val="21"/>
                <w:szCs w:val="21"/>
                <w:highlight w:val="none"/>
              </w:rPr>
            </w:pPr>
            <w:r>
              <w:rPr>
                <w:rFonts w:hint="eastAsia" w:ascii="宋体" w:hAnsi="宋体"/>
                <w:sz w:val="21"/>
                <w:szCs w:val="21"/>
                <w:highlight w:val="none"/>
              </w:rPr>
              <w:t>封套上写明</w:t>
            </w:r>
          </w:p>
        </w:tc>
        <w:tc>
          <w:tcPr>
            <w:tcW w:w="6241" w:type="dxa"/>
            <w:gridSpan w:val="2"/>
            <w:noWrap w:val="0"/>
            <w:vAlign w:val="center"/>
          </w:tcPr>
          <w:p w14:paraId="1A733FB5">
            <w:pPr>
              <w:spacing w:line="360" w:lineRule="auto"/>
              <w:ind w:left="17"/>
              <w:rPr>
                <w:rFonts w:ascii="宋体" w:hAnsi="宋体"/>
                <w:sz w:val="21"/>
                <w:szCs w:val="21"/>
                <w:highlight w:val="none"/>
              </w:rPr>
            </w:pPr>
            <w:r>
              <w:rPr>
                <w:rFonts w:hint="eastAsia" w:ascii="宋体" w:hAnsi="宋体"/>
                <w:sz w:val="21"/>
                <w:szCs w:val="21"/>
                <w:highlight w:val="none"/>
              </w:rPr>
              <w:t>比选人名称：</w:t>
            </w:r>
            <w:r>
              <w:rPr>
                <w:rFonts w:hint="eastAsia" w:ascii="宋体" w:hAnsi="宋体"/>
                <w:sz w:val="21"/>
                <w:szCs w:val="21"/>
                <w:highlight w:val="none"/>
                <w:u w:val="single"/>
              </w:rPr>
              <w:t xml:space="preserve">       </w:t>
            </w:r>
          </w:p>
          <w:p w14:paraId="517C5848">
            <w:pPr>
              <w:spacing w:line="360" w:lineRule="auto"/>
              <w:ind w:left="17"/>
              <w:rPr>
                <w:rFonts w:hint="eastAsia" w:ascii="宋体" w:hAnsi="宋体"/>
                <w:sz w:val="21"/>
                <w:szCs w:val="21"/>
                <w:highlight w:val="none"/>
              </w:rPr>
            </w:pPr>
            <w:r>
              <w:rPr>
                <w:rFonts w:hint="eastAsia" w:ascii="宋体" w:hAnsi="宋体"/>
                <w:sz w:val="21"/>
                <w:szCs w:val="21"/>
                <w:highlight w:val="none"/>
              </w:rPr>
              <w:t>比选申请人名称：</w:t>
            </w:r>
            <w:r>
              <w:rPr>
                <w:rFonts w:hint="eastAsia" w:ascii="宋体" w:hAnsi="宋体"/>
                <w:sz w:val="21"/>
                <w:szCs w:val="21"/>
                <w:highlight w:val="none"/>
                <w:u w:val="single"/>
              </w:rPr>
              <w:t xml:space="preserve">       </w:t>
            </w:r>
          </w:p>
          <w:p w14:paraId="26E99606">
            <w:pPr>
              <w:autoSpaceDE w:val="0"/>
              <w:autoSpaceDN w:val="0"/>
              <w:adjustRightInd w:val="0"/>
              <w:spacing w:line="360" w:lineRule="auto"/>
              <w:ind w:left="10"/>
              <w:rPr>
                <w:rFonts w:hint="eastAsia" w:ascii="宋体" w:hAnsi="宋体" w:cs="宋体"/>
                <w:sz w:val="21"/>
                <w:szCs w:val="21"/>
                <w:highlight w:val="none"/>
                <w:lang w:val="zh-CN"/>
              </w:rPr>
            </w:pPr>
            <w:r>
              <w:rPr>
                <w:rFonts w:ascii="宋体" w:hAnsi="宋体" w:cs="宋体"/>
                <w:sz w:val="21"/>
                <w:szCs w:val="21"/>
                <w:highlight w:val="none"/>
                <w:lang w:val="zh-CN"/>
              </w:rPr>
              <w:t xml:space="preserve"> </w:t>
            </w:r>
            <w:r>
              <w:rPr>
                <w:rFonts w:ascii="宋体" w:hAnsi="宋体" w:cs="宋体"/>
                <w:sz w:val="21"/>
                <w:szCs w:val="21"/>
                <w:highlight w:val="none"/>
                <w:u w:val="single"/>
                <w:lang w:val="zh-CN"/>
              </w:rPr>
              <w:t xml:space="preserve">   </w:t>
            </w:r>
            <w:r>
              <w:rPr>
                <w:rFonts w:hint="eastAsia" w:ascii="宋体" w:hAnsi="宋体" w:cs="宋体"/>
                <w:sz w:val="21"/>
                <w:szCs w:val="21"/>
                <w:highlight w:val="none"/>
                <w:u w:val="single"/>
                <w:lang w:val="zh-CN"/>
              </w:rPr>
              <w:t>（项目名称）</w:t>
            </w:r>
            <w:r>
              <w:rPr>
                <w:rFonts w:ascii="宋体" w:hAnsi="宋体" w:cs="宋体"/>
                <w:sz w:val="21"/>
                <w:szCs w:val="21"/>
                <w:highlight w:val="none"/>
                <w:u w:val="single"/>
                <w:lang w:val="zh-CN"/>
              </w:rPr>
              <w:t xml:space="preserve">  </w:t>
            </w:r>
            <w:r>
              <w:rPr>
                <w:rFonts w:hint="eastAsia" w:ascii="宋体" w:hAnsi="宋体" w:cs="宋体"/>
                <w:sz w:val="21"/>
                <w:szCs w:val="21"/>
                <w:highlight w:val="none"/>
                <w:lang w:val="zh-CN"/>
              </w:rPr>
              <w:t>比选申请文件</w:t>
            </w:r>
          </w:p>
          <w:p w14:paraId="76842998">
            <w:pPr>
              <w:spacing w:line="360" w:lineRule="auto"/>
              <w:rPr>
                <w:rFonts w:hint="eastAsia" w:ascii="宋体" w:hAnsi="宋体"/>
                <w:sz w:val="21"/>
                <w:szCs w:val="21"/>
                <w:highlight w:val="none"/>
              </w:rPr>
            </w:pPr>
            <w:r>
              <w:rPr>
                <w:rFonts w:hint="eastAsia" w:ascii="宋体" w:hAnsi="宋体" w:cs="宋体"/>
                <w:sz w:val="21"/>
                <w:szCs w:val="21"/>
                <w:highlight w:val="none"/>
                <w:lang w:val="zh-CN"/>
              </w:rPr>
              <w:t>在＿年＿月＿日＿时</w:t>
            </w:r>
            <w:r>
              <w:rPr>
                <w:rFonts w:hint="eastAsia" w:ascii="宋体" w:hAnsi="宋体" w:cs="宋体"/>
                <w:sz w:val="21"/>
                <w:szCs w:val="21"/>
                <w:highlight w:val="none"/>
                <w:u w:val="single"/>
                <w:lang w:val="zh-CN"/>
              </w:rPr>
              <w:t xml:space="preserve">  </w:t>
            </w:r>
            <w:r>
              <w:rPr>
                <w:rFonts w:hint="eastAsia" w:ascii="宋体" w:hAnsi="宋体" w:cs="宋体"/>
                <w:sz w:val="21"/>
                <w:szCs w:val="21"/>
                <w:highlight w:val="none"/>
                <w:lang w:val="zh-CN"/>
              </w:rPr>
              <w:t>分前不得开启</w:t>
            </w:r>
          </w:p>
        </w:tc>
      </w:tr>
      <w:tr w14:paraId="112868EF">
        <w:trPr>
          <w:trHeight w:val="680" w:hRule="atLeast"/>
          <w:jc w:val="center"/>
        </w:trPr>
        <w:tc>
          <w:tcPr>
            <w:tcW w:w="862" w:type="dxa"/>
            <w:noWrap w:val="0"/>
            <w:vAlign w:val="center"/>
          </w:tcPr>
          <w:p w14:paraId="681AD48B">
            <w:pPr>
              <w:spacing w:line="360" w:lineRule="auto"/>
              <w:jc w:val="center"/>
              <w:rPr>
                <w:rFonts w:hint="eastAsia" w:ascii="宋体" w:hAnsi="宋体"/>
                <w:sz w:val="21"/>
                <w:szCs w:val="21"/>
                <w:highlight w:val="none"/>
              </w:rPr>
            </w:pPr>
            <w:r>
              <w:rPr>
                <w:rFonts w:hint="eastAsia" w:ascii="宋体" w:hAnsi="宋体"/>
                <w:sz w:val="21"/>
                <w:szCs w:val="21"/>
                <w:highlight w:val="none"/>
              </w:rPr>
              <w:t>4.2.1</w:t>
            </w:r>
          </w:p>
        </w:tc>
        <w:tc>
          <w:tcPr>
            <w:tcW w:w="1609" w:type="dxa"/>
            <w:noWrap w:val="0"/>
            <w:vAlign w:val="center"/>
          </w:tcPr>
          <w:p w14:paraId="2C4A60F5">
            <w:pPr>
              <w:spacing w:line="360" w:lineRule="auto"/>
              <w:jc w:val="center"/>
              <w:rPr>
                <w:rFonts w:hint="eastAsia" w:ascii="宋体" w:hAnsi="宋体"/>
                <w:sz w:val="21"/>
                <w:szCs w:val="21"/>
                <w:highlight w:val="none"/>
              </w:rPr>
            </w:pPr>
            <w:r>
              <w:rPr>
                <w:rFonts w:hint="eastAsia" w:ascii="宋体" w:hAnsi="宋体"/>
                <w:sz w:val="21"/>
                <w:szCs w:val="21"/>
                <w:highlight w:val="none"/>
              </w:rPr>
              <w:t>比选申请</w:t>
            </w:r>
            <w:r>
              <w:rPr>
                <w:rFonts w:ascii="宋体" w:hAnsi="宋体"/>
                <w:sz w:val="21"/>
                <w:szCs w:val="21"/>
                <w:highlight w:val="none"/>
              </w:rPr>
              <w:t>截止时间</w:t>
            </w:r>
          </w:p>
        </w:tc>
        <w:tc>
          <w:tcPr>
            <w:tcW w:w="6241" w:type="dxa"/>
            <w:gridSpan w:val="2"/>
            <w:noWrap w:val="0"/>
            <w:vAlign w:val="center"/>
          </w:tcPr>
          <w:p w14:paraId="4DFEA53C">
            <w:pPr>
              <w:autoSpaceDE w:val="0"/>
              <w:autoSpaceDN w:val="0"/>
              <w:adjustRightInd w:val="0"/>
              <w:spacing w:line="360" w:lineRule="auto"/>
              <w:rPr>
                <w:rFonts w:hint="eastAsia" w:ascii="宋体" w:hAnsi="宋体" w:cs="宋体"/>
                <w:sz w:val="21"/>
                <w:szCs w:val="21"/>
                <w:highlight w:val="none"/>
                <w:lang w:val="zh-CN"/>
              </w:rPr>
            </w:pPr>
            <w:r>
              <w:rPr>
                <w:rFonts w:hint="eastAsia" w:ascii="宋体" w:hAnsi="宋体"/>
                <w:sz w:val="21"/>
                <w:szCs w:val="21"/>
                <w:highlight w:val="none"/>
              </w:rPr>
              <w:t>202</w:t>
            </w:r>
            <w:r>
              <w:rPr>
                <w:rFonts w:hint="eastAsia" w:ascii="宋体" w:hAnsi="宋体"/>
                <w:sz w:val="21"/>
                <w:szCs w:val="21"/>
                <w:highlight w:val="none"/>
                <w:lang w:val="en-US" w:eastAsia="zh-CN"/>
              </w:rPr>
              <w:t>6</w:t>
            </w:r>
            <w:r>
              <w:rPr>
                <w:rFonts w:hint="eastAsia" w:ascii="宋体" w:hAnsi="宋体"/>
                <w:sz w:val="21"/>
                <w:szCs w:val="21"/>
                <w:highlight w:val="none"/>
              </w:rPr>
              <w:t>年</w:t>
            </w:r>
            <w:r>
              <w:rPr>
                <w:rFonts w:hint="eastAsia" w:ascii="宋体" w:hAnsi="宋体"/>
                <w:sz w:val="21"/>
                <w:szCs w:val="21"/>
                <w:highlight w:val="none"/>
                <w:lang w:val="en-US" w:eastAsia="zh-CN"/>
              </w:rPr>
              <w:t>04</w:t>
            </w:r>
            <w:r>
              <w:rPr>
                <w:rFonts w:hint="eastAsia" w:ascii="宋体" w:hAnsi="宋体"/>
                <w:sz w:val="21"/>
                <w:szCs w:val="21"/>
                <w:highlight w:val="none"/>
              </w:rPr>
              <w:t>月</w:t>
            </w:r>
            <w:r>
              <w:rPr>
                <w:rFonts w:hint="eastAsia" w:ascii="宋体" w:hAnsi="宋体"/>
                <w:sz w:val="21"/>
                <w:szCs w:val="21"/>
                <w:highlight w:val="none"/>
                <w:lang w:val="en-US" w:eastAsia="zh-CN"/>
              </w:rPr>
              <w:t>28</w:t>
            </w:r>
            <w:r>
              <w:rPr>
                <w:rFonts w:hint="eastAsia" w:ascii="宋体" w:hAnsi="宋体"/>
                <w:sz w:val="21"/>
                <w:szCs w:val="21"/>
                <w:highlight w:val="none"/>
              </w:rPr>
              <w:t>日</w:t>
            </w:r>
            <w:r>
              <w:rPr>
                <w:rFonts w:ascii="宋体" w:hAnsi="宋体"/>
                <w:sz w:val="21"/>
                <w:szCs w:val="21"/>
                <w:highlight w:val="none"/>
              </w:rPr>
              <w:t>10</w:t>
            </w:r>
            <w:r>
              <w:rPr>
                <w:rFonts w:hint="eastAsia" w:ascii="宋体" w:hAnsi="宋体"/>
                <w:sz w:val="21"/>
                <w:szCs w:val="21"/>
                <w:highlight w:val="none"/>
              </w:rPr>
              <w:t>时0</w:t>
            </w:r>
            <w:r>
              <w:rPr>
                <w:rFonts w:ascii="宋体" w:hAnsi="宋体"/>
                <w:sz w:val="21"/>
                <w:szCs w:val="21"/>
                <w:highlight w:val="none"/>
              </w:rPr>
              <w:t xml:space="preserve">0 </w:t>
            </w:r>
            <w:r>
              <w:rPr>
                <w:rFonts w:hint="eastAsia" w:ascii="宋体" w:hAnsi="宋体"/>
                <w:sz w:val="21"/>
                <w:szCs w:val="21"/>
                <w:highlight w:val="none"/>
              </w:rPr>
              <w:t>分（北京时间）。</w:t>
            </w:r>
          </w:p>
        </w:tc>
      </w:tr>
      <w:tr w14:paraId="75CBE139">
        <w:trPr>
          <w:trHeight w:val="364" w:hRule="atLeast"/>
          <w:jc w:val="center"/>
        </w:trPr>
        <w:tc>
          <w:tcPr>
            <w:tcW w:w="862" w:type="dxa"/>
            <w:noWrap w:val="0"/>
            <w:vAlign w:val="center"/>
          </w:tcPr>
          <w:p w14:paraId="486BAC5C">
            <w:pPr>
              <w:spacing w:line="360" w:lineRule="auto"/>
              <w:jc w:val="center"/>
              <w:rPr>
                <w:rFonts w:hint="eastAsia" w:ascii="宋体" w:hAnsi="宋体"/>
                <w:sz w:val="21"/>
                <w:szCs w:val="21"/>
                <w:highlight w:val="none"/>
              </w:rPr>
            </w:pPr>
            <w:r>
              <w:rPr>
                <w:rFonts w:hint="eastAsia" w:ascii="宋体" w:hAnsi="宋体"/>
                <w:sz w:val="21"/>
                <w:szCs w:val="21"/>
                <w:highlight w:val="none"/>
              </w:rPr>
              <w:t>4.2.2</w:t>
            </w:r>
          </w:p>
        </w:tc>
        <w:tc>
          <w:tcPr>
            <w:tcW w:w="1609" w:type="dxa"/>
            <w:noWrap w:val="0"/>
            <w:vAlign w:val="center"/>
          </w:tcPr>
          <w:p w14:paraId="47E3C3AF">
            <w:pPr>
              <w:spacing w:line="360" w:lineRule="auto"/>
              <w:jc w:val="center"/>
              <w:rPr>
                <w:rFonts w:hint="eastAsia" w:ascii="宋体" w:hAnsi="宋体"/>
                <w:sz w:val="21"/>
                <w:szCs w:val="21"/>
                <w:highlight w:val="none"/>
              </w:rPr>
            </w:pPr>
            <w:r>
              <w:rPr>
                <w:rFonts w:hint="eastAsia" w:ascii="宋体" w:hAnsi="宋体"/>
                <w:sz w:val="21"/>
                <w:szCs w:val="21"/>
                <w:highlight w:val="none"/>
              </w:rPr>
              <w:t>递交比选申请文件地点</w:t>
            </w:r>
          </w:p>
        </w:tc>
        <w:tc>
          <w:tcPr>
            <w:tcW w:w="6241" w:type="dxa"/>
            <w:gridSpan w:val="2"/>
            <w:noWrap w:val="0"/>
            <w:vAlign w:val="center"/>
          </w:tcPr>
          <w:p w14:paraId="6F659047">
            <w:pPr>
              <w:spacing w:line="360" w:lineRule="auto"/>
              <w:rPr>
                <w:rFonts w:hint="eastAsia" w:ascii="宋体" w:hAnsi="宋体"/>
                <w:bCs/>
                <w:sz w:val="21"/>
                <w:szCs w:val="21"/>
                <w:highlight w:val="none"/>
                <w:u w:val="single"/>
              </w:rPr>
            </w:pPr>
            <w:r>
              <w:rPr>
                <w:rFonts w:hint="eastAsia" w:ascii="宋体" w:hAnsi="宋体"/>
                <w:bCs/>
                <w:sz w:val="21"/>
                <w:szCs w:val="21"/>
                <w:highlight w:val="none"/>
                <w:u w:val="single"/>
              </w:rPr>
              <w:t>四川省成都市锦江区毕昇路468号创世纪广场A座34层本项目开标室</w:t>
            </w:r>
          </w:p>
        </w:tc>
      </w:tr>
      <w:tr w14:paraId="22D79F65">
        <w:trPr>
          <w:trHeight w:val="431" w:hRule="atLeast"/>
          <w:jc w:val="center"/>
        </w:trPr>
        <w:tc>
          <w:tcPr>
            <w:tcW w:w="862" w:type="dxa"/>
            <w:noWrap w:val="0"/>
            <w:vAlign w:val="center"/>
          </w:tcPr>
          <w:p w14:paraId="0D23CAA3">
            <w:pPr>
              <w:spacing w:line="360" w:lineRule="auto"/>
              <w:jc w:val="center"/>
              <w:rPr>
                <w:rFonts w:hint="eastAsia" w:ascii="宋体" w:hAnsi="宋体"/>
                <w:sz w:val="21"/>
                <w:szCs w:val="21"/>
                <w:highlight w:val="none"/>
              </w:rPr>
            </w:pPr>
            <w:r>
              <w:rPr>
                <w:rFonts w:hint="eastAsia" w:ascii="宋体" w:hAnsi="宋体"/>
                <w:sz w:val="21"/>
                <w:szCs w:val="21"/>
                <w:highlight w:val="none"/>
              </w:rPr>
              <w:t>4.2.3</w:t>
            </w:r>
          </w:p>
        </w:tc>
        <w:tc>
          <w:tcPr>
            <w:tcW w:w="1609" w:type="dxa"/>
            <w:noWrap w:val="0"/>
            <w:vAlign w:val="center"/>
          </w:tcPr>
          <w:p w14:paraId="5B82D7C2">
            <w:pPr>
              <w:spacing w:line="360" w:lineRule="auto"/>
              <w:jc w:val="center"/>
              <w:rPr>
                <w:rFonts w:hint="eastAsia" w:ascii="宋体" w:hAnsi="宋体"/>
                <w:sz w:val="21"/>
                <w:szCs w:val="21"/>
                <w:highlight w:val="none"/>
              </w:rPr>
            </w:pPr>
            <w:r>
              <w:rPr>
                <w:rFonts w:hint="eastAsia" w:ascii="宋体" w:hAnsi="宋体"/>
                <w:sz w:val="21"/>
                <w:szCs w:val="21"/>
                <w:highlight w:val="none"/>
              </w:rPr>
              <w:t>是否退还比选申请文件</w:t>
            </w:r>
          </w:p>
        </w:tc>
        <w:tc>
          <w:tcPr>
            <w:tcW w:w="6241" w:type="dxa"/>
            <w:gridSpan w:val="2"/>
            <w:noWrap w:val="0"/>
            <w:vAlign w:val="center"/>
          </w:tcPr>
          <w:p w14:paraId="50C9868F">
            <w:pPr>
              <w:pStyle w:val="48"/>
              <w:tabs>
                <w:tab w:val="center" w:pos="4153"/>
                <w:tab w:val="right" w:pos="8306"/>
              </w:tabs>
              <w:snapToGrid w:val="0"/>
              <w:spacing w:before="0" w:beforeAutospacing="0" w:after="0" w:afterAutospacing="0" w:line="360" w:lineRule="auto"/>
              <w:ind w:left="-50" w:leftChars="-21"/>
              <w:rPr>
                <w:rFonts w:hint="eastAsia" w:cs="Arial"/>
                <w:sz w:val="21"/>
                <w:szCs w:val="21"/>
                <w:highlight w:val="none"/>
              </w:rPr>
            </w:pPr>
            <w:r>
              <w:rPr>
                <w:rFonts w:cs="Arial"/>
                <w:sz w:val="21"/>
                <w:szCs w:val="21"/>
                <w:highlight w:val="none"/>
              </w:rPr>
              <w:t>否</w:t>
            </w:r>
          </w:p>
        </w:tc>
      </w:tr>
      <w:tr w14:paraId="2C4D4D95">
        <w:trPr>
          <w:trHeight w:val="674" w:hRule="atLeast"/>
          <w:jc w:val="center"/>
        </w:trPr>
        <w:tc>
          <w:tcPr>
            <w:tcW w:w="862" w:type="dxa"/>
            <w:noWrap w:val="0"/>
            <w:vAlign w:val="center"/>
          </w:tcPr>
          <w:p w14:paraId="5660B718">
            <w:pPr>
              <w:spacing w:line="360" w:lineRule="auto"/>
              <w:jc w:val="center"/>
              <w:rPr>
                <w:rFonts w:hint="eastAsia" w:ascii="宋体" w:hAnsi="宋体"/>
                <w:sz w:val="21"/>
                <w:szCs w:val="21"/>
                <w:highlight w:val="none"/>
              </w:rPr>
            </w:pPr>
            <w:r>
              <w:rPr>
                <w:rFonts w:hint="eastAsia" w:ascii="宋体" w:hAnsi="宋体"/>
                <w:sz w:val="21"/>
                <w:szCs w:val="21"/>
                <w:highlight w:val="none"/>
              </w:rPr>
              <w:t>5.1</w:t>
            </w:r>
          </w:p>
        </w:tc>
        <w:tc>
          <w:tcPr>
            <w:tcW w:w="1609" w:type="dxa"/>
            <w:noWrap w:val="0"/>
            <w:vAlign w:val="center"/>
          </w:tcPr>
          <w:p w14:paraId="0A87C421">
            <w:pPr>
              <w:spacing w:line="360" w:lineRule="auto"/>
              <w:jc w:val="center"/>
              <w:rPr>
                <w:rFonts w:hint="eastAsia" w:ascii="宋体" w:hAnsi="宋体"/>
                <w:sz w:val="21"/>
                <w:szCs w:val="21"/>
                <w:highlight w:val="none"/>
              </w:rPr>
            </w:pPr>
            <w:r>
              <w:rPr>
                <w:rFonts w:hint="eastAsia" w:ascii="宋体" w:hAnsi="宋体"/>
                <w:sz w:val="21"/>
                <w:szCs w:val="21"/>
                <w:highlight w:val="none"/>
              </w:rPr>
              <w:t>开选时间和地点</w:t>
            </w:r>
          </w:p>
        </w:tc>
        <w:tc>
          <w:tcPr>
            <w:tcW w:w="6241" w:type="dxa"/>
            <w:gridSpan w:val="2"/>
            <w:noWrap w:val="0"/>
            <w:vAlign w:val="center"/>
          </w:tcPr>
          <w:p w14:paraId="02EBE0C4">
            <w:pPr>
              <w:spacing w:line="360" w:lineRule="auto"/>
              <w:rPr>
                <w:rFonts w:hint="eastAsia" w:ascii="宋体" w:hAnsi="宋体"/>
                <w:sz w:val="21"/>
                <w:szCs w:val="21"/>
                <w:highlight w:val="none"/>
              </w:rPr>
            </w:pPr>
            <w:r>
              <w:rPr>
                <w:rFonts w:hint="eastAsia" w:ascii="宋体" w:hAnsi="宋体"/>
                <w:sz w:val="21"/>
                <w:szCs w:val="21"/>
                <w:highlight w:val="none"/>
              </w:rPr>
              <w:t>开选时间：同比选申请截止时间</w:t>
            </w:r>
          </w:p>
          <w:p w14:paraId="6DA896B3">
            <w:pPr>
              <w:spacing w:line="360" w:lineRule="auto"/>
              <w:rPr>
                <w:rFonts w:hint="eastAsia" w:ascii="宋体" w:hAnsi="宋体"/>
                <w:sz w:val="21"/>
                <w:szCs w:val="21"/>
                <w:highlight w:val="none"/>
              </w:rPr>
            </w:pPr>
            <w:r>
              <w:rPr>
                <w:rFonts w:hint="eastAsia" w:ascii="宋体" w:hAnsi="宋体"/>
                <w:sz w:val="21"/>
                <w:szCs w:val="21"/>
                <w:highlight w:val="none"/>
              </w:rPr>
              <w:t>开选地点：同递交比选申请文件地点</w:t>
            </w:r>
          </w:p>
        </w:tc>
      </w:tr>
      <w:tr w14:paraId="5A9116AC">
        <w:trPr>
          <w:trHeight w:val="364" w:hRule="atLeast"/>
          <w:jc w:val="center"/>
        </w:trPr>
        <w:tc>
          <w:tcPr>
            <w:tcW w:w="862" w:type="dxa"/>
            <w:noWrap w:val="0"/>
            <w:vAlign w:val="center"/>
          </w:tcPr>
          <w:p w14:paraId="33978E45">
            <w:pPr>
              <w:spacing w:line="360" w:lineRule="auto"/>
              <w:jc w:val="center"/>
              <w:rPr>
                <w:rFonts w:hint="eastAsia" w:ascii="宋体" w:hAnsi="宋体"/>
                <w:sz w:val="21"/>
                <w:szCs w:val="21"/>
                <w:highlight w:val="none"/>
              </w:rPr>
            </w:pPr>
            <w:r>
              <w:rPr>
                <w:rFonts w:hint="eastAsia" w:ascii="宋体" w:hAnsi="宋体"/>
                <w:sz w:val="21"/>
                <w:szCs w:val="21"/>
                <w:highlight w:val="none"/>
              </w:rPr>
              <w:t>5.2</w:t>
            </w:r>
          </w:p>
        </w:tc>
        <w:tc>
          <w:tcPr>
            <w:tcW w:w="1609" w:type="dxa"/>
            <w:noWrap w:val="0"/>
            <w:vAlign w:val="center"/>
          </w:tcPr>
          <w:p w14:paraId="2A2B4291">
            <w:pPr>
              <w:spacing w:line="360" w:lineRule="auto"/>
              <w:jc w:val="center"/>
              <w:rPr>
                <w:rFonts w:hint="eastAsia" w:ascii="宋体" w:hAnsi="宋体"/>
                <w:sz w:val="21"/>
                <w:szCs w:val="21"/>
                <w:highlight w:val="none"/>
              </w:rPr>
            </w:pPr>
            <w:r>
              <w:rPr>
                <w:rFonts w:hint="eastAsia" w:ascii="宋体" w:hAnsi="宋体"/>
                <w:sz w:val="21"/>
                <w:szCs w:val="21"/>
                <w:highlight w:val="none"/>
              </w:rPr>
              <w:t>开选程序</w:t>
            </w:r>
          </w:p>
        </w:tc>
        <w:tc>
          <w:tcPr>
            <w:tcW w:w="6241" w:type="dxa"/>
            <w:gridSpan w:val="2"/>
            <w:noWrap w:val="0"/>
            <w:vAlign w:val="center"/>
          </w:tcPr>
          <w:p w14:paraId="4C4BAF00">
            <w:pPr>
              <w:spacing w:line="360" w:lineRule="auto"/>
              <w:rPr>
                <w:rFonts w:hint="eastAsia" w:ascii="宋体" w:hAnsi="宋体"/>
                <w:sz w:val="21"/>
                <w:szCs w:val="21"/>
                <w:highlight w:val="none"/>
              </w:rPr>
            </w:pPr>
            <w:r>
              <w:rPr>
                <w:rFonts w:hint="eastAsia" w:ascii="宋体" w:hAnsi="宋体"/>
                <w:sz w:val="21"/>
                <w:szCs w:val="21"/>
                <w:highlight w:val="none"/>
              </w:rPr>
              <w:t>密封情况检查：由比选申请人代表和监审代表共同检查比选申请文件密封情况。</w:t>
            </w:r>
          </w:p>
          <w:p w14:paraId="45474C87">
            <w:pPr>
              <w:spacing w:line="360" w:lineRule="auto"/>
              <w:rPr>
                <w:rFonts w:hint="eastAsia" w:ascii="宋体" w:hAnsi="宋体"/>
                <w:sz w:val="21"/>
                <w:szCs w:val="21"/>
                <w:highlight w:val="none"/>
              </w:rPr>
            </w:pPr>
            <w:r>
              <w:rPr>
                <w:rFonts w:hint="eastAsia" w:ascii="宋体" w:hAnsi="宋体"/>
                <w:sz w:val="21"/>
                <w:szCs w:val="21"/>
                <w:highlight w:val="none"/>
              </w:rPr>
              <w:t>开选顺序：不分递交先后顺序随机开启。</w:t>
            </w:r>
          </w:p>
        </w:tc>
      </w:tr>
      <w:tr w14:paraId="5772D649">
        <w:trPr>
          <w:trHeight w:val="144" w:hRule="atLeast"/>
          <w:jc w:val="center"/>
        </w:trPr>
        <w:tc>
          <w:tcPr>
            <w:tcW w:w="862" w:type="dxa"/>
            <w:noWrap w:val="0"/>
            <w:vAlign w:val="center"/>
          </w:tcPr>
          <w:p w14:paraId="28860207">
            <w:pPr>
              <w:spacing w:line="360" w:lineRule="auto"/>
              <w:jc w:val="center"/>
              <w:rPr>
                <w:rFonts w:hint="eastAsia" w:ascii="宋体" w:hAnsi="宋体"/>
                <w:sz w:val="21"/>
                <w:szCs w:val="21"/>
                <w:highlight w:val="none"/>
              </w:rPr>
            </w:pPr>
            <w:r>
              <w:rPr>
                <w:rFonts w:hint="eastAsia" w:ascii="宋体" w:hAnsi="宋体"/>
                <w:sz w:val="21"/>
                <w:szCs w:val="21"/>
                <w:highlight w:val="none"/>
              </w:rPr>
              <w:t>6.1.1</w:t>
            </w:r>
          </w:p>
        </w:tc>
        <w:tc>
          <w:tcPr>
            <w:tcW w:w="1609" w:type="dxa"/>
            <w:noWrap w:val="0"/>
            <w:vAlign w:val="center"/>
          </w:tcPr>
          <w:p w14:paraId="7D22A6E4">
            <w:pPr>
              <w:spacing w:line="360" w:lineRule="auto"/>
              <w:jc w:val="center"/>
              <w:rPr>
                <w:rFonts w:hint="eastAsia" w:ascii="宋体" w:hAnsi="宋体"/>
                <w:sz w:val="21"/>
                <w:szCs w:val="21"/>
                <w:highlight w:val="none"/>
              </w:rPr>
            </w:pPr>
            <w:r>
              <w:rPr>
                <w:rFonts w:hint="eastAsia" w:ascii="宋体" w:hAnsi="宋体"/>
                <w:sz w:val="21"/>
                <w:szCs w:val="21"/>
                <w:highlight w:val="none"/>
              </w:rPr>
              <w:t>评审委员会的组建</w:t>
            </w:r>
          </w:p>
        </w:tc>
        <w:tc>
          <w:tcPr>
            <w:tcW w:w="6241" w:type="dxa"/>
            <w:gridSpan w:val="2"/>
            <w:noWrap w:val="0"/>
            <w:vAlign w:val="center"/>
          </w:tcPr>
          <w:p w14:paraId="39FD7B1D">
            <w:pPr>
              <w:spacing w:line="360" w:lineRule="auto"/>
              <w:rPr>
                <w:rFonts w:hint="eastAsia" w:ascii="宋体" w:hAnsi="宋体"/>
                <w:sz w:val="21"/>
                <w:szCs w:val="21"/>
                <w:highlight w:val="none"/>
              </w:rPr>
            </w:pPr>
            <w:r>
              <w:rPr>
                <w:rFonts w:hint="eastAsia" w:ascii="宋体" w:hAnsi="宋体"/>
                <w:sz w:val="21"/>
                <w:szCs w:val="21"/>
                <w:highlight w:val="none"/>
              </w:rPr>
              <w:t>评审委员会为</w:t>
            </w:r>
            <w:r>
              <w:rPr>
                <w:rFonts w:hint="eastAsia" w:ascii="宋体" w:hAnsi="宋体"/>
                <w:sz w:val="21"/>
                <w:szCs w:val="21"/>
                <w:highlight w:val="none"/>
                <w:u w:val="single"/>
              </w:rPr>
              <w:t>5人</w:t>
            </w:r>
            <w:r>
              <w:rPr>
                <w:rFonts w:hint="eastAsia" w:ascii="宋体" w:hAnsi="宋体"/>
                <w:sz w:val="21"/>
                <w:szCs w:val="21"/>
                <w:highlight w:val="none"/>
              </w:rPr>
              <w:t>，评审委员会的组成和评审专家的确定方式为比选人依法组建。</w:t>
            </w:r>
          </w:p>
        </w:tc>
      </w:tr>
      <w:tr w14:paraId="02194DD2">
        <w:trPr>
          <w:trHeight w:val="144" w:hRule="atLeast"/>
          <w:jc w:val="center"/>
        </w:trPr>
        <w:tc>
          <w:tcPr>
            <w:tcW w:w="862" w:type="dxa"/>
            <w:noWrap w:val="0"/>
            <w:vAlign w:val="center"/>
          </w:tcPr>
          <w:p w14:paraId="7327AC27">
            <w:pPr>
              <w:spacing w:line="360" w:lineRule="auto"/>
              <w:jc w:val="center"/>
              <w:rPr>
                <w:rFonts w:hint="eastAsia" w:ascii="宋体" w:hAnsi="宋体"/>
                <w:sz w:val="21"/>
                <w:szCs w:val="21"/>
                <w:highlight w:val="none"/>
              </w:rPr>
            </w:pPr>
            <w:r>
              <w:rPr>
                <w:rFonts w:hint="eastAsia" w:ascii="宋体" w:hAnsi="宋体"/>
                <w:sz w:val="21"/>
                <w:szCs w:val="21"/>
                <w:highlight w:val="none"/>
              </w:rPr>
              <w:t>6.3</w:t>
            </w:r>
          </w:p>
        </w:tc>
        <w:tc>
          <w:tcPr>
            <w:tcW w:w="1609" w:type="dxa"/>
            <w:noWrap w:val="0"/>
            <w:vAlign w:val="center"/>
          </w:tcPr>
          <w:p w14:paraId="3809D718">
            <w:pPr>
              <w:spacing w:line="360" w:lineRule="auto"/>
              <w:jc w:val="center"/>
              <w:rPr>
                <w:rFonts w:hint="eastAsia" w:ascii="宋体" w:hAnsi="宋体"/>
                <w:sz w:val="21"/>
                <w:szCs w:val="21"/>
                <w:highlight w:val="none"/>
              </w:rPr>
            </w:pPr>
            <w:r>
              <w:rPr>
                <w:rFonts w:hint="eastAsia" w:ascii="宋体" w:hAnsi="宋体"/>
                <w:sz w:val="21"/>
                <w:szCs w:val="21"/>
                <w:highlight w:val="none"/>
              </w:rPr>
              <w:t>评审办法</w:t>
            </w:r>
          </w:p>
        </w:tc>
        <w:tc>
          <w:tcPr>
            <w:tcW w:w="6241" w:type="dxa"/>
            <w:gridSpan w:val="2"/>
            <w:noWrap w:val="0"/>
            <w:vAlign w:val="center"/>
          </w:tcPr>
          <w:p w14:paraId="336F2B1E">
            <w:pPr>
              <w:spacing w:line="360" w:lineRule="auto"/>
              <w:rPr>
                <w:rFonts w:hint="eastAsia" w:ascii="宋体" w:hAnsi="宋体"/>
                <w:sz w:val="21"/>
                <w:szCs w:val="21"/>
                <w:highlight w:val="none"/>
              </w:rPr>
            </w:pPr>
            <w:r>
              <w:rPr>
                <w:rFonts w:hint="eastAsia" w:ascii="宋体" w:hAnsi="宋体"/>
                <w:sz w:val="21"/>
                <w:szCs w:val="21"/>
                <w:highlight w:val="none"/>
              </w:rPr>
              <w:t>综合评估法</w:t>
            </w:r>
          </w:p>
        </w:tc>
      </w:tr>
      <w:tr w14:paraId="1E4E91D2">
        <w:trPr>
          <w:trHeight w:val="728" w:hRule="atLeast"/>
          <w:jc w:val="center"/>
        </w:trPr>
        <w:tc>
          <w:tcPr>
            <w:tcW w:w="862" w:type="dxa"/>
            <w:noWrap w:val="0"/>
            <w:vAlign w:val="center"/>
          </w:tcPr>
          <w:p w14:paraId="1A9563E9">
            <w:pPr>
              <w:spacing w:line="360" w:lineRule="auto"/>
              <w:jc w:val="center"/>
              <w:rPr>
                <w:rFonts w:hint="eastAsia" w:ascii="宋体" w:hAnsi="宋体"/>
                <w:sz w:val="21"/>
                <w:szCs w:val="21"/>
                <w:highlight w:val="none"/>
              </w:rPr>
            </w:pPr>
            <w:r>
              <w:rPr>
                <w:rFonts w:hint="eastAsia" w:ascii="宋体" w:hAnsi="宋体"/>
                <w:sz w:val="21"/>
                <w:szCs w:val="21"/>
                <w:highlight w:val="none"/>
              </w:rPr>
              <w:t>7.1</w:t>
            </w:r>
          </w:p>
        </w:tc>
        <w:tc>
          <w:tcPr>
            <w:tcW w:w="1609" w:type="dxa"/>
            <w:noWrap w:val="0"/>
            <w:vAlign w:val="center"/>
          </w:tcPr>
          <w:p w14:paraId="4A590596">
            <w:pPr>
              <w:spacing w:line="360" w:lineRule="auto"/>
              <w:jc w:val="center"/>
              <w:rPr>
                <w:rFonts w:ascii="宋体" w:hAnsi="宋体"/>
                <w:sz w:val="21"/>
                <w:szCs w:val="21"/>
                <w:highlight w:val="none"/>
              </w:rPr>
            </w:pPr>
            <w:r>
              <w:rPr>
                <w:rFonts w:ascii="宋体" w:hAnsi="宋体"/>
                <w:sz w:val="21"/>
                <w:szCs w:val="21"/>
                <w:highlight w:val="none"/>
              </w:rPr>
              <w:t>中选结果公示</w:t>
            </w:r>
          </w:p>
        </w:tc>
        <w:tc>
          <w:tcPr>
            <w:tcW w:w="6241" w:type="dxa"/>
            <w:gridSpan w:val="2"/>
            <w:noWrap w:val="0"/>
            <w:vAlign w:val="center"/>
          </w:tcPr>
          <w:p w14:paraId="3F844AAF">
            <w:pPr>
              <w:spacing w:line="360" w:lineRule="auto"/>
              <w:rPr>
                <w:rFonts w:hint="eastAsia" w:ascii="宋体" w:hAnsi="宋体" w:cs="Arial"/>
                <w:sz w:val="21"/>
                <w:szCs w:val="21"/>
                <w:highlight w:val="none"/>
              </w:rPr>
            </w:pPr>
            <w:r>
              <w:rPr>
                <w:rFonts w:ascii="宋体" w:hAnsi="宋体" w:cs="Arial"/>
                <w:sz w:val="21"/>
                <w:szCs w:val="21"/>
                <w:highlight w:val="none"/>
              </w:rPr>
              <w:t>公示媒介：同比选公告媒介</w:t>
            </w:r>
          </w:p>
          <w:p w14:paraId="2CCFFFF1">
            <w:pPr>
              <w:spacing w:line="360" w:lineRule="auto"/>
              <w:rPr>
                <w:rFonts w:ascii="宋体" w:hAnsi="宋体" w:cs="Arial"/>
                <w:sz w:val="21"/>
                <w:szCs w:val="21"/>
                <w:highlight w:val="none"/>
              </w:rPr>
            </w:pPr>
            <w:r>
              <w:rPr>
                <w:rFonts w:hint="eastAsia" w:ascii="宋体" w:hAnsi="宋体" w:cs="Arial"/>
                <w:sz w:val="21"/>
                <w:szCs w:val="21"/>
                <w:highlight w:val="none"/>
              </w:rPr>
              <w:t>公示期：不少于1个工作日</w:t>
            </w:r>
          </w:p>
        </w:tc>
      </w:tr>
      <w:tr w14:paraId="20311AE4">
        <w:trPr>
          <w:trHeight w:val="728" w:hRule="atLeast"/>
          <w:jc w:val="center"/>
        </w:trPr>
        <w:tc>
          <w:tcPr>
            <w:tcW w:w="862" w:type="dxa"/>
            <w:noWrap w:val="0"/>
            <w:vAlign w:val="center"/>
          </w:tcPr>
          <w:p w14:paraId="732AB1CF">
            <w:pPr>
              <w:spacing w:line="360" w:lineRule="auto"/>
              <w:jc w:val="center"/>
              <w:rPr>
                <w:rFonts w:ascii="宋体" w:hAnsi="宋体"/>
                <w:sz w:val="21"/>
                <w:szCs w:val="21"/>
                <w:highlight w:val="none"/>
              </w:rPr>
            </w:pPr>
            <w:r>
              <w:rPr>
                <w:rFonts w:hint="eastAsia" w:ascii="宋体" w:hAnsi="宋体"/>
                <w:sz w:val="21"/>
                <w:szCs w:val="21"/>
                <w:highlight w:val="none"/>
              </w:rPr>
              <w:t>7.7.1</w:t>
            </w:r>
          </w:p>
        </w:tc>
        <w:tc>
          <w:tcPr>
            <w:tcW w:w="1609" w:type="dxa"/>
            <w:noWrap w:val="0"/>
            <w:vAlign w:val="center"/>
          </w:tcPr>
          <w:p w14:paraId="2D822ACE">
            <w:pPr>
              <w:spacing w:line="360" w:lineRule="auto"/>
              <w:jc w:val="center"/>
              <w:rPr>
                <w:rFonts w:ascii="宋体" w:hAnsi="宋体"/>
                <w:sz w:val="21"/>
                <w:szCs w:val="21"/>
                <w:highlight w:val="none"/>
              </w:rPr>
            </w:pPr>
            <w:r>
              <w:rPr>
                <w:rFonts w:ascii="宋体" w:hAnsi="宋体"/>
                <w:sz w:val="21"/>
                <w:szCs w:val="21"/>
                <w:highlight w:val="none"/>
              </w:rPr>
              <w:t>履约保证金</w:t>
            </w:r>
          </w:p>
        </w:tc>
        <w:tc>
          <w:tcPr>
            <w:tcW w:w="6241" w:type="dxa"/>
            <w:gridSpan w:val="2"/>
            <w:noWrap w:val="0"/>
            <w:vAlign w:val="center"/>
          </w:tcPr>
          <w:p w14:paraId="2333F1B4">
            <w:pPr>
              <w:spacing w:line="360" w:lineRule="auto"/>
              <w:rPr>
                <w:rFonts w:hint="eastAsia" w:ascii="宋体" w:hAnsi="宋体"/>
                <w:sz w:val="21"/>
                <w:szCs w:val="21"/>
                <w:highlight w:val="none"/>
              </w:rPr>
            </w:pPr>
            <w:r>
              <w:rPr>
                <w:rFonts w:hint="eastAsia" w:ascii="宋体" w:hAnsi="宋体"/>
                <w:sz w:val="21"/>
                <w:szCs w:val="21"/>
                <w:highlight w:val="none"/>
              </w:rPr>
              <w:t>不递交</w:t>
            </w:r>
          </w:p>
        </w:tc>
      </w:tr>
      <w:tr w14:paraId="5C4E6A23">
        <w:trPr>
          <w:trHeight w:val="257" w:hRule="atLeast"/>
          <w:jc w:val="center"/>
        </w:trPr>
        <w:tc>
          <w:tcPr>
            <w:tcW w:w="862" w:type="dxa"/>
            <w:noWrap w:val="0"/>
            <w:vAlign w:val="center"/>
          </w:tcPr>
          <w:p w14:paraId="40DD7FDD">
            <w:pPr>
              <w:spacing w:line="360" w:lineRule="auto"/>
              <w:jc w:val="center"/>
              <w:rPr>
                <w:rFonts w:hint="eastAsia" w:ascii="宋体" w:hAnsi="宋体"/>
                <w:sz w:val="21"/>
                <w:szCs w:val="21"/>
                <w:highlight w:val="none"/>
              </w:rPr>
            </w:pPr>
            <w:r>
              <w:rPr>
                <w:rFonts w:hint="eastAsia" w:ascii="宋体" w:hAnsi="宋体"/>
                <w:sz w:val="21"/>
                <w:szCs w:val="21"/>
                <w:highlight w:val="none"/>
              </w:rPr>
              <w:t>10</w:t>
            </w:r>
          </w:p>
        </w:tc>
        <w:tc>
          <w:tcPr>
            <w:tcW w:w="7850" w:type="dxa"/>
            <w:gridSpan w:val="3"/>
            <w:noWrap w:val="0"/>
            <w:vAlign w:val="center"/>
          </w:tcPr>
          <w:p w14:paraId="2E990CA2">
            <w:pPr>
              <w:spacing w:line="360" w:lineRule="auto"/>
              <w:jc w:val="center"/>
              <w:rPr>
                <w:rFonts w:hint="eastAsia" w:ascii="宋体" w:hAnsi="宋体"/>
                <w:b/>
                <w:sz w:val="21"/>
                <w:szCs w:val="21"/>
                <w:highlight w:val="none"/>
              </w:rPr>
            </w:pPr>
            <w:r>
              <w:rPr>
                <w:rFonts w:hint="eastAsia" w:ascii="宋体" w:hAnsi="宋体"/>
                <w:b/>
                <w:sz w:val="21"/>
                <w:szCs w:val="21"/>
                <w:highlight w:val="none"/>
              </w:rPr>
              <w:t>需要补充的其他内容</w:t>
            </w:r>
          </w:p>
        </w:tc>
      </w:tr>
      <w:tr w14:paraId="07F1CB61">
        <w:trPr>
          <w:trHeight w:val="657" w:hRule="atLeast"/>
          <w:jc w:val="center"/>
        </w:trPr>
        <w:tc>
          <w:tcPr>
            <w:tcW w:w="862" w:type="dxa"/>
            <w:noWrap w:val="0"/>
            <w:vAlign w:val="center"/>
          </w:tcPr>
          <w:p w14:paraId="5BABD47E">
            <w:pPr>
              <w:spacing w:line="360" w:lineRule="auto"/>
              <w:jc w:val="center"/>
              <w:rPr>
                <w:rFonts w:hint="eastAsia" w:ascii="宋体" w:hAnsi="宋体"/>
                <w:sz w:val="21"/>
                <w:szCs w:val="21"/>
                <w:highlight w:val="none"/>
              </w:rPr>
            </w:pPr>
            <w:r>
              <w:rPr>
                <w:rFonts w:hint="eastAsia" w:ascii="宋体" w:hAnsi="宋体"/>
                <w:sz w:val="21"/>
                <w:szCs w:val="21"/>
                <w:highlight w:val="none"/>
              </w:rPr>
              <w:t>10.1</w:t>
            </w:r>
          </w:p>
        </w:tc>
        <w:tc>
          <w:tcPr>
            <w:tcW w:w="1626" w:type="dxa"/>
            <w:gridSpan w:val="2"/>
            <w:noWrap w:val="0"/>
            <w:vAlign w:val="center"/>
          </w:tcPr>
          <w:p w14:paraId="2149075B">
            <w:pPr>
              <w:spacing w:line="360" w:lineRule="auto"/>
              <w:jc w:val="center"/>
              <w:rPr>
                <w:rFonts w:hint="eastAsia" w:ascii="宋体" w:hAnsi="宋体"/>
                <w:sz w:val="21"/>
                <w:szCs w:val="21"/>
                <w:highlight w:val="none"/>
              </w:rPr>
            </w:pPr>
            <w:r>
              <w:rPr>
                <w:rFonts w:hint="eastAsia" w:ascii="宋体" w:hAnsi="宋体"/>
                <w:sz w:val="21"/>
                <w:szCs w:val="21"/>
                <w:highlight w:val="none"/>
              </w:rPr>
              <w:t>编页码和小签</w:t>
            </w:r>
          </w:p>
        </w:tc>
        <w:tc>
          <w:tcPr>
            <w:tcW w:w="6224" w:type="dxa"/>
            <w:noWrap w:val="0"/>
            <w:vAlign w:val="center"/>
          </w:tcPr>
          <w:p w14:paraId="2D332A52">
            <w:pPr>
              <w:spacing w:line="360" w:lineRule="auto"/>
              <w:rPr>
                <w:rFonts w:hint="eastAsia" w:ascii="宋体" w:hAnsi="宋体"/>
                <w:sz w:val="21"/>
                <w:szCs w:val="21"/>
                <w:highlight w:val="none"/>
              </w:rPr>
            </w:pPr>
            <w:r>
              <w:rPr>
                <w:rFonts w:hint="eastAsia" w:ascii="宋体" w:hAnsi="宋体"/>
                <w:sz w:val="21"/>
                <w:szCs w:val="21"/>
                <w:highlight w:val="none"/>
              </w:rPr>
              <w:t>不作统一要求，比选申请人自定。</w:t>
            </w:r>
          </w:p>
        </w:tc>
      </w:tr>
      <w:tr w14:paraId="21E7F788">
        <w:trPr>
          <w:trHeight w:val="892" w:hRule="atLeast"/>
          <w:jc w:val="center"/>
        </w:trPr>
        <w:tc>
          <w:tcPr>
            <w:tcW w:w="862" w:type="dxa"/>
            <w:noWrap w:val="0"/>
            <w:vAlign w:val="center"/>
          </w:tcPr>
          <w:p w14:paraId="77062393">
            <w:pPr>
              <w:spacing w:line="360" w:lineRule="auto"/>
              <w:jc w:val="center"/>
              <w:rPr>
                <w:rFonts w:hint="eastAsia" w:ascii="宋体" w:hAnsi="宋体"/>
                <w:sz w:val="21"/>
                <w:szCs w:val="21"/>
                <w:highlight w:val="none"/>
              </w:rPr>
            </w:pPr>
            <w:r>
              <w:rPr>
                <w:rFonts w:hint="eastAsia" w:ascii="宋体" w:hAnsi="宋体"/>
                <w:sz w:val="21"/>
                <w:szCs w:val="21"/>
                <w:highlight w:val="none"/>
              </w:rPr>
              <w:t>10.2</w:t>
            </w:r>
          </w:p>
        </w:tc>
        <w:tc>
          <w:tcPr>
            <w:tcW w:w="1626" w:type="dxa"/>
            <w:gridSpan w:val="2"/>
            <w:noWrap w:val="0"/>
            <w:vAlign w:val="center"/>
          </w:tcPr>
          <w:p w14:paraId="10C2A78E">
            <w:pPr>
              <w:spacing w:line="360" w:lineRule="auto"/>
              <w:jc w:val="center"/>
              <w:rPr>
                <w:rFonts w:hint="eastAsia" w:ascii="宋体" w:hAnsi="宋体"/>
                <w:sz w:val="21"/>
                <w:szCs w:val="21"/>
                <w:highlight w:val="none"/>
              </w:rPr>
            </w:pPr>
            <w:r>
              <w:rPr>
                <w:rFonts w:hint="eastAsia" w:ascii="宋体" w:hAnsi="宋体"/>
                <w:sz w:val="21"/>
                <w:szCs w:val="21"/>
                <w:highlight w:val="none"/>
              </w:rPr>
              <w:t>比选代理服务费</w:t>
            </w:r>
          </w:p>
        </w:tc>
        <w:tc>
          <w:tcPr>
            <w:tcW w:w="6224" w:type="dxa"/>
            <w:noWrap w:val="0"/>
            <w:vAlign w:val="center"/>
          </w:tcPr>
          <w:p w14:paraId="3461F10F">
            <w:pPr>
              <w:spacing w:line="360" w:lineRule="auto"/>
              <w:jc w:val="center"/>
              <w:rPr>
                <w:rFonts w:hint="eastAsia" w:ascii="宋体" w:hAnsi="宋体"/>
                <w:sz w:val="21"/>
                <w:szCs w:val="21"/>
                <w:highlight w:val="none"/>
                <w:lang w:eastAsia="zh-CN"/>
              </w:rPr>
            </w:pPr>
            <w:r>
              <w:rPr>
                <w:rFonts w:hint="eastAsia" w:ascii="宋体" w:hAnsi="宋体"/>
                <w:sz w:val="21"/>
                <w:szCs w:val="21"/>
                <w:highlight w:val="none"/>
                <w:lang w:val="en-US" w:eastAsia="zh-CN"/>
              </w:rPr>
              <w:t>/</w:t>
            </w:r>
          </w:p>
        </w:tc>
      </w:tr>
      <w:tr w14:paraId="100B028D">
        <w:trPr>
          <w:trHeight w:val="1853" w:hRule="atLeast"/>
          <w:jc w:val="center"/>
        </w:trPr>
        <w:tc>
          <w:tcPr>
            <w:tcW w:w="862" w:type="dxa"/>
            <w:noWrap w:val="0"/>
            <w:vAlign w:val="center"/>
          </w:tcPr>
          <w:p w14:paraId="2AF6F852">
            <w:pPr>
              <w:spacing w:line="360" w:lineRule="auto"/>
              <w:jc w:val="center"/>
              <w:rPr>
                <w:rFonts w:hint="eastAsia" w:ascii="宋体" w:hAnsi="宋体"/>
                <w:b/>
                <w:sz w:val="21"/>
                <w:szCs w:val="21"/>
                <w:highlight w:val="none"/>
              </w:rPr>
            </w:pPr>
            <w:r>
              <w:rPr>
                <w:rFonts w:hint="eastAsia" w:ascii="宋体" w:hAnsi="宋体"/>
                <w:b/>
                <w:sz w:val="21"/>
                <w:szCs w:val="21"/>
                <w:highlight w:val="none"/>
              </w:rPr>
              <w:t>10.3</w:t>
            </w:r>
          </w:p>
        </w:tc>
        <w:tc>
          <w:tcPr>
            <w:tcW w:w="1626" w:type="dxa"/>
            <w:gridSpan w:val="2"/>
            <w:noWrap w:val="0"/>
            <w:vAlign w:val="center"/>
          </w:tcPr>
          <w:p w14:paraId="76D49100">
            <w:pPr>
              <w:spacing w:line="360" w:lineRule="auto"/>
              <w:jc w:val="center"/>
              <w:rPr>
                <w:rFonts w:hint="eastAsia" w:ascii="宋体" w:hAnsi="宋体"/>
                <w:sz w:val="21"/>
                <w:szCs w:val="21"/>
                <w:highlight w:val="none"/>
              </w:rPr>
            </w:pPr>
            <w:r>
              <w:rPr>
                <w:rFonts w:hint="eastAsia" w:ascii="宋体" w:hAnsi="宋体"/>
                <w:b/>
                <w:sz w:val="21"/>
                <w:szCs w:val="21"/>
                <w:highlight w:val="none"/>
              </w:rPr>
              <w:t>报价唯一</w:t>
            </w:r>
          </w:p>
        </w:tc>
        <w:tc>
          <w:tcPr>
            <w:tcW w:w="6224" w:type="dxa"/>
            <w:noWrap w:val="0"/>
            <w:vAlign w:val="center"/>
          </w:tcPr>
          <w:p w14:paraId="1F79E1F5">
            <w:pPr>
              <w:spacing w:line="360" w:lineRule="auto"/>
              <w:ind w:left="19" w:leftChars="8"/>
              <w:rPr>
                <w:rFonts w:ascii="宋体" w:hAnsi="宋体"/>
                <w:b/>
                <w:sz w:val="21"/>
                <w:szCs w:val="21"/>
                <w:highlight w:val="none"/>
              </w:rPr>
            </w:pPr>
            <w:r>
              <w:rPr>
                <w:rFonts w:hint="eastAsia" w:ascii="宋体" w:hAnsi="宋体"/>
                <w:b/>
                <w:sz w:val="21"/>
                <w:szCs w:val="21"/>
                <w:highlight w:val="none"/>
              </w:rPr>
              <w:t>只能有一个有效报价。即：</w:t>
            </w:r>
          </w:p>
          <w:p w14:paraId="57D4DA29">
            <w:pPr>
              <w:spacing w:line="360" w:lineRule="auto"/>
              <w:ind w:left="19" w:leftChars="8"/>
              <w:rPr>
                <w:rFonts w:hint="eastAsia" w:ascii="宋体" w:hAnsi="宋体"/>
                <w:b/>
                <w:sz w:val="21"/>
                <w:szCs w:val="21"/>
                <w:highlight w:val="none"/>
              </w:rPr>
            </w:pPr>
            <w:r>
              <w:rPr>
                <w:rFonts w:hint="eastAsia" w:ascii="宋体" w:hAnsi="宋体"/>
                <w:b/>
                <w:sz w:val="21"/>
                <w:szCs w:val="21"/>
                <w:highlight w:val="none"/>
              </w:rPr>
              <w:t>（1）比选申请文件（包括比选申请函）中的任何单价、合价或总价，不论其大写金额或小写金额均只能有一个，否则，评审委员会应否决其参选。</w:t>
            </w:r>
          </w:p>
          <w:p w14:paraId="16C4E477">
            <w:pPr>
              <w:spacing w:line="360" w:lineRule="auto"/>
              <w:rPr>
                <w:rFonts w:hint="eastAsia" w:ascii="宋体" w:hAnsi="宋体"/>
                <w:sz w:val="21"/>
                <w:szCs w:val="21"/>
                <w:highlight w:val="none"/>
              </w:rPr>
            </w:pPr>
            <w:r>
              <w:rPr>
                <w:rFonts w:hint="eastAsia" w:ascii="宋体" w:hAnsi="宋体"/>
                <w:b/>
                <w:sz w:val="21"/>
                <w:szCs w:val="21"/>
                <w:highlight w:val="none"/>
              </w:rPr>
              <w:t>（2）</w:t>
            </w:r>
            <w:r>
              <w:rPr>
                <w:rFonts w:hint="eastAsia" w:ascii="宋体" w:hAnsi="宋体" w:cs="宋体"/>
                <w:b/>
                <w:sz w:val="21"/>
                <w:szCs w:val="21"/>
                <w:highlight w:val="none"/>
              </w:rPr>
              <w:t>参选报价单位为元，小数点后保留位数不作强制要求。</w:t>
            </w:r>
          </w:p>
        </w:tc>
      </w:tr>
      <w:tr w14:paraId="18A36928">
        <w:trPr>
          <w:trHeight w:val="295" w:hRule="atLeast"/>
          <w:jc w:val="center"/>
        </w:trPr>
        <w:tc>
          <w:tcPr>
            <w:tcW w:w="862" w:type="dxa"/>
            <w:noWrap w:val="0"/>
            <w:vAlign w:val="center"/>
          </w:tcPr>
          <w:p w14:paraId="6479B8E3">
            <w:pPr>
              <w:spacing w:line="360" w:lineRule="auto"/>
              <w:jc w:val="center"/>
              <w:rPr>
                <w:rFonts w:hint="eastAsia" w:ascii="宋体" w:hAnsi="宋体"/>
                <w:sz w:val="21"/>
                <w:szCs w:val="21"/>
                <w:highlight w:val="none"/>
              </w:rPr>
            </w:pPr>
            <w:r>
              <w:rPr>
                <w:rFonts w:hint="eastAsia" w:ascii="宋体" w:hAnsi="宋体"/>
                <w:sz w:val="21"/>
                <w:szCs w:val="21"/>
                <w:highlight w:val="none"/>
              </w:rPr>
              <w:t>10.4</w:t>
            </w:r>
          </w:p>
        </w:tc>
        <w:tc>
          <w:tcPr>
            <w:tcW w:w="1626" w:type="dxa"/>
            <w:gridSpan w:val="2"/>
            <w:noWrap w:val="0"/>
            <w:vAlign w:val="center"/>
          </w:tcPr>
          <w:p w14:paraId="23780E14">
            <w:pPr>
              <w:spacing w:line="360" w:lineRule="auto"/>
              <w:jc w:val="center"/>
              <w:rPr>
                <w:rFonts w:hint="eastAsia" w:ascii="宋体" w:hAnsi="宋体"/>
                <w:sz w:val="21"/>
                <w:szCs w:val="21"/>
                <w:highlight w:val="none"/>
              </w:rPr>
            </w:pPr>
            <w:r>
              <w:rPr>
                <w:rFonts w:hint="eastAsia" w:ascii="宋体" w:hAnsi="宋体"/>
                <w:sz w:val="21"/>
                <w:szCs w:val="21"/>
                <w:highlight w:val="none"/>
              </w:rPr>
              <w:t>低于成本报价</w:t>
            </w:r>
          </w:p>
        </w:tc>
        <w:tc>
          <w:tcPr>
            <w:tcW w:w="6224" w:type="dxa"/>
            <w:noWrap w:val="0"/>
            <w:vAlign w:val="center"/>
          </w:tcPr>
          <w:p w14:paraId="6856DA41">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在评审过程中，评审委员会发现比选申请人的报价明显低于其他参选报价，使得其参选报价可能低于其个别成本的，应当要求该比选申请人作出书面说明,评审委员会应从比选申请人的人员配置、服务周期、管理成本等方面综合考虑对比选申请人是否低于其个别成本进行认定，评审委员会经评审认为其不低于成本的，应当书面说明理由。比选申请人不能说明或者评审委员会认为说明不合理的，由评审委员会认定该比选申请人以低于成本报价，其报价应作否决处理。</w:t>
            </w:r>
          </w:p>
          <w:p w14:paraId="620EDE7E">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评审委员会全体成员三分之二以上认为该比选申请人不能合理说明的，认定该比选申请人以低于成本报价，其报价应作否决处理。持有异议的评审委员会成员可以书面方式阐述其不同意见和理由，拒绝签字且不陈述其不同意见和理由的，视为同意。</w:t>
            </w:r>
          </w:p>
        </w:tc>
      </w:tr>
      <w:tr w14:paraId="05C3645E">
        <w:trPr>
          <w:trHeight w:val="728" w:hRule="atLeast"/>
          <w:jc w:val="center"/>
        </w:trPr>
        <w:tc>
          <w:tcPr>
            <w:tcW w:w="862" w:type="dxa"/>
            <w:noWrap w:val="0"/>
            <w:vAlign w:val="center"/>
          </w:tcPr>
          <w:p w14:paraId="57AFF5F4">
            <w:pPr>
              <w:spacing w:line="360" w:lineRule="auto"/>
              <w:jc w:val="center"/>
              <w:rPr>
                <w:rFonts w:hint="eastAsia" w:ascii="宋体" w:hAnsi="宋体"/>
                <w:sz w:val="21"/>
                <w:szCs w:val="21"/>
                <w:highlight w:val="none"/>
              </w:rPr>
            </w:pPr>
            <w:r>
              <w:rPr>
                <w:rFonts w:hint="eastAsia" w:ascii="宋体" w:hAnsi="宋体"/>
                <w:sz w:val="21"/>
                <w:szCs w:val="21"/>
                <w:highlight w:val="none"/>
              </w:rPr>
              <w:t>10.5</w:t>
            </w:r>
          </w:p>
        </w:tc>
        <w:tc>
          <w:tcPr>
            <w:tcW w:w="1626" w:type="dxa"/>
            <w:gridSpan w:val="2"/>
            <w:noWrap w:val="0"/>
            <w:vAlign w:val="center"/>
          </w:tcPr>
          <w:p w14:paraId="38870638">
            <w:pPr>
              <w:spacing w:line="360" w:lineRule="auto"/>
              <w:jc w:val="center"/>
              <w:rPr>
                <w:rFonts w:hint="eastAsia" w:ascii="宋体" w:hAnsi="宋体"/>
                <w:sz w:val="21"/>
                <w:szCs w:val="21"/>
                <w:highlight w:val="none"/>
              </w:rPr>
            </w:pPr>
            <w:r>
              <w:rPr>
                <w:rFonts w:hint="eastAsia" w:ascii="宋体" w:hAnsi="宋体"/>
                <w:sz w:val="21"/>
                <w:szCs w:val="21"/>
                <w:highlight w:val="none"/>
              </w:rPr>
              <w:t>确定中选人</w:t>
            </w:r>
          </w:p>
        </w:tc>
        <w:tc>
          <w:tcPr>
            <w:tcW w:w="6224" w:type="dxa"/>
            <w:noWrap w:val="0"/>
            <w:vAlign w:val="center"/>
          </w:tcPr>
          <w:p w14:paraId="0603BEA7">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比选人按照评审委员会推荐中选候选人的顺序确定中选人。</w:t>
            </w:r>
          </w:p>
        </w:tc>
      </w:tr>
      <w:tr w14:paraId="21505DE5">
        <w:trPr>
          <w:trHeight w:val="728" w:hRule="atLeast"/>
          <w:jc w:val="center"/>
        </w:trPr>
        <w:tc>
          <w:tcPr>
            <w:tcW w:w="862" w:type="dxa"/>
            <w:noWrap w:val="0"/>
            <w:vAlign w:val="center"/>
          </w:tcPr>
          <w:p w14:paraId="5978D6EF">
            <w:pPr>
              <w:spacing w:line="360" w:lineRule="auto"/>
              <w:jc w:val="center"/>
              <w:rPr>
                <w:rFonts w:hint="eastAsia" w:ascii="宋体" w:hAnsi="宋体"/>
                <w:sz w:val="21"/>
                <w:szCs w:val="21"/>
                <w:highlight w:val="none"/>
              </w:rPr>
            </w:pPr>
            <w:r>
              <w:rPr>
                <w:rFonts w:hint="eastAsia" w:ascii="宋体" w:hAnsi="宋体"/>
                <w:sz w:val="21"/>
                <w:szCs w:val="21"/>
                <w:highlight w:val="none"/>
              </w:rPr>
              <w:t>10.</w:t>
            </w:r>
            <w:r>
              <w:rPr>
                <w:rFonts w:ascii="宋体" w:hAnsi="宋体"/>
                <w:sz w:val="21"/>
                <w:szCs w:val="21"/>
                <w:highlight w:val="none"/>
              </w:rPr>
              <w:t>6</w:t>
            </w:r>
          </w:p>
        </w:tc>
        <w:tc>
          <w:tcPr>
            <w:tcW w:w="1626" w:type="dxa"/>
            <w:gridSpan w:val="2"/>
            <w:noWrap w:val="0"/>
            <w:vAlign w:val="center"/>
          </w:tcPr>
          <w:p w14:paraId="56311650">
            <w:pPr>
              <w:spacing w:line="360" w:lineRule="auto"/>
              <w:jc w:val="center"/>
              <w:rPr>
                <w:rFonts w:hint="eastAsia" w:ascii="宋体" w:hAnsi="宋体"/>
                <w:sz w:val="21"/>
                <w:szCs w:val="21"/>
                <w:highlight w:val="none"/>
              </w:rPr>
            </w:pPr>
            <w:r>
              <w:rPr>
                <w:rFonts w:hint="eastAsia" w:ascii="宋体" w:hAnsi="宋体"/>
                <w:sz w:val="21"/>
                <w:szCs w:val="21"/>
                <w:highlight w:val="none"/>
              </w:rPr>
              <w:t>比选文件</w:t>
            </w:r>
          </w:p>
          <w:p w14:paraId="299320F8">
            <w:pPr>
              <w:spacing w:line="360" w:lineRule="auto"/>
              <w:jc w:val="center"/>
              <w:rPr>
                <w:rFonts w:hint="eastAsia" w:ascii="宋体" w:hAnsi="宋体"/>
                <w:sz w:val="21"/>
                <w:szCs w:val="21"/>
                <w:highlight w:val="none"/>
              </w:rPr>
            </w:pPr>
            <w:r>
              <w:rPr>
                <w:rFonts w:hint="eastAsia" w:ascii="宋体" w:hAnsi="宋体"/>
                <w:sz w:val="21"/>
                <w:szCs w:val="21"/>
                <w:highlight w:val="none"/>
              </w:rPr>
              <w:t>内容冲突的解决及优先适用次序</w:t>
            </w:r>
          </w:p>
        </w:tc>
        <w:tc>
          <w:tcPr>
            <w:tcW w:w="6224" w:type="dxa"/>
            <w:noWrap w:val="0"/>
            <w:vAlign w:val="center"/>
          </w:tcPr>
          <w:p w14:paraId="28BBBA79">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比选文件中比选人编制的内容前后有矛盾或不一致，有时间先后顺序的，以时间在后的修改、澄清或补正文件为准；没有时间先后顺序的，以公平的原则进行处理。</w:t>
            </w:r>
          </w:p>
        </w:tc>
      </w:tr>
      <w:tr w14:paraId="23CEA658">
        <w:trPr>
          <w:trHeight w:val="1118" w:hRule="atLeast"/>
          <w:jc w:val="center"/>
        </w:trPr>
        <w:tc>
          <w:tcPr>
            <w:tcW w:w="862" w:type="dxa"/>
            <w:noWrap w:val="0"/>
            <w:vAlign w:val="center"/>
          </w:tcPr>
          <w:p w14:paraId="135A1845">
            <w:pPr>
              <w:spacing w:line="360" w:lineRule="auto"/>
              <w:jc w:val="center"/>
              <w:rPr>
                <w:rFonts w:hint="eastAsia" w:ascii="宋体" w:hAnsi="宋体"/>
                <w:b/>
                <w:sz w:val="21"/>
                <w:szCs w:val="21"/>
                <w:highlight w:val="none"/>
              </w:rPr>
            </w:pPr>
            <w:r>
              <w:rPr>
                <w:rFonts w:hint="eastAsia" w:ascii="宋体" w:hAnsi="宋体"/>
                <w:b/>
                <w:sz w:val="21"/>
                <w:szCs w:val="21"/>
                <w:highlight w:val="none"/>
              </w:rPr>
              <w:t>10.</w:t>
            </w:r>
            <w:r>
              <w:rPr>
                <w:rFonts w:ascii="宋体" w:hAnsi="宋体"/>
                <w:b/>
                <w:sz w:val="21"/>
                <w:szCs w:val="21"/>
                <w:highlight w:val="none"/>
              </w:rPr>
              <w:t>7</w:t>
            </w:r>
          </w:p>
        </w:tc>
        <w:tc>
          <w:tcPr>
            <w:tcW w:w="1626" w:type="dxa"/>
            <w:gridSpan w:val="2"/>
            <w:noWrap w:val="0"/>
            <w:vAlign w:val="center"/>
          </w:tcPr>
          <w:p w14:paraId="10C208CF">
            <w:pPr>
              <w:spacing w:line="360" w:lineRule="auto"/>
              <w:jc w:val="center"/>
              <w:rPr>
                <w:rFonts w:hint="eastAsia" w:ascii="宋体" w:hAnsi="宋体"/>
                <w:sz w:val="21"/>
                <w:szCs w:val="21"/>
                <w:highlight w:val="none"/>
              </w:rPr>
            </w:pPr>
            <w:r>
              <w:rPr>
                <w:rFonts w:hint="eastAsia" w:ascii="宋体" w:hAnsi="宋体"/>
                <w:b/>
                <w:sz w:val="21"/>
                <w:szCs w:val="21"/>
                <w:highlight w:val="none"/>
              </w:rPr>
              <w:t>比选申请文件的真实性要求</w:t>
            </w:r>
          </w:p>
        </w:tc>
        <w:tc>
          <w:tcPr>
            <w:tcW w:w="6224" w:type="dxa"/>
            <w:noWrap w:val="0"/>
            <w:vAlign w:val="center"/>
          </w:tcPr>
          <w:p w14:paraId="45772368">
            <w:pPr>
              <w:spacing w:line="360" w:lineRule="auto"/>
              <w:ind w:firstLine="420" w:firstLineChars="200"/>
              <w:rPr>
                <w:rFonts w:hint="eastAsia" w:ascii="宋体" w:hAnsi="宋体"/>
                <w:b/>
                <w:sz w:val="21"/>
                <w:szCs w:val="21"/>
                <w:highlight w:val="none"/>
              </w:rPr>
            </w:pPr>
            <w:r>
              <w:rPr>
                <w:rFonts w:hint="eastAsia" w:ascii="宋体" w:hAnsi="宋体"/>
                <w:b/>
                <w:sz w:val="21"/>
                <w:szCs w:val="21"/>
                <w:highlight w:val="none"/>
              </w:rPr>
              <w:t>比选申请人所递交的比选申请文件（包括有关资料、澄清）应真实可信，不存在虚假（包括隐瞒）。</w:t>
            </w:r>
          </w:p>
          <w:p w14:paraId="45CAE406">
            <w:pPr>
              <w:spacing w:line="360" w:lineRule="auto"/>
              <w:ind w:firstLine="420" w:firstLineChars="200"/>
              <w:rPr>
                <w:rFonts w:hint="eastAsia" w:ascii="宋体" w:hAnsi="宋体"/>
                <w:b/>
                <w:sz w:val="21"/>
                <w:szCs w:val="21"/>
                <w:highlight w:val="none"/>
              </w:rPr>
            </w:pPr>
            <w:r>
              <w:rPr>
                <w:rFonts w:hint="eastAsia" w:ascii="宋体" w:hAnsi="宋体"/>
                <w:b/>
                <w:sz w:val="21"/>
                <w:szCs w:val="21"/>
                <w:highlight w:val="none"/>
              </w:rPr>
              <w:t>比选申请人声明不存在限制比选申请情形但被发现存在限制比选申请情形的，构成隐瞒，属于虚假参选行为。</w:t>
            </w:r>
          </w:p>
          <w:p w14:paraId="48DDE86A">
            <w:pPr>
              <w:spacing w:line="360" w:lineRule="auto"/>
              <w:ind w:firstLine="420" w:firstLineChars="200"/>
              <w:rPr>
                <w:rFonts w:hint="eastAsia" w:ascii="宋体" w:hAnsi="宋体"/>
                <w:sz w:val="21"/>
                <w:szCs w:val="21"/>
                <w:highlight w:val="none"/>
              </w:rPr>
            </w:pPr>
            <w:r>
              <w:rPr>
                <w:rFonts w:hint="eastAsia" w:ascii="宋体" w:hAnsi="宋体"/>
                <w:b/>
                <w:sz w:val="21"/>
                <w:szCs w:val="21"/>
                <w:highlight w:val="none"/>
              </w:rPr>
              <w:t>如比选申请文件存在虚假，在评审阶段，评审委员会应将该比选申请文件作否决参选处理；中选候选人确定后发现的，比选人和比选行政监督部门可以取消中选候选人或中选资格。</w:t>
            </w:r>
          </w:p>
        </w:tc>
      </w:tr>
      <w:tr w14:paraId="52F39472">
        <w:trPr>
          <w:trHeight w:val="558" w:hRule="atLeast"/>
          <w:jc w:val="center"/>
        </w:trPr>
        <w:tc>
          <w:tcPr>
            <w:tcW w:w="862" w:type="dxa"/>
            <w:noWrap w:val="0"/>
            <w:vAlign w:val="center"/>
          </w:tcPr>
          <w:p w14:paraId="00719D0F">
            <w:pPr>
              <w:spacing w:line="360" w:lineRule="auto"/>
              <w:jc w:val="center"/>
              <w:rPr>
                <w:rFonts w:hint="eastAsia" w:ascii="宋体" w:hAnsi="宋体"/>
                <w:sz w:val="21"/>
                <w:szCs w:val="21"/>
                <w:highlight w:val="none"/>
              </w:rPr>
            </w:pPr>
            <w:r>
              <w:rPr>
                <w:rFonts w:hint="eastAsia" w:ascii="宋体" w:hAnsi="宋体"/>
                <w:sz w:val="21"/>
                <w:szCs w:val="21"/>
                <w:highlight w:val="none"/>
              </w:rPr>
              <w:t>10.</w:t>
            </w:r>
            <w:r>
              <w:rPr>
                <w:rFonts w:ascii="宋体" w:hAnsi="宋体"/>
                <w:sz w:val="21"/>
                <w:szCs w:val="21"/>
                <w:highlight w:val="none"/>
              </w:rPr>
              <w:t>8</w:t>
            </w:r>
          </w:p>
        </w:tc>
        <w:tc>
          <w:tcPr>
            <w:tcW w:w="1626" w:type="dxa"/>
            <w:gridSpan w:val="2"/>
            <w:noWrap w:val="0"/>
            <w:vAlign w:val="center"/>
          </w:tcPr>
          <w:p w14:paraId="3288E7C0">
            <w:pPr>
              <w:spacing w:line="360" w:lineRule="auto"/>
              <w:jc w:val="center"/>
              <w:rPr>
                <w:rFonts w:ascii="宋体" w:hAnsi="宋体"/>
                <w:sz w:val="21"/>
                <w:szCs w:val="21"/>
                <w:highlight w:val="none"/>
              </w:rPr>
            </w:pPr>
            <w:r>
              <w:rPr>
                <w:rFonts w:hint="eastAsia" w:ascii="宋体" w:hAnsi="宋体"/>
                <w:sz w:val="21"/>
                <w:szCs w:val="21"/>
                <w:highlight w:val="none"/>
              </w:rPr>
              <w:t>知识产权</w:t>
            </w:r>
          </w:p>
        </w:tc>
        <w:tc>
          <w:tcPr>
            <w:tcW w:w="6224" w:type="dxa"/>
            <w:noWrap w:val="0"/>
            <w:vAlign w:val="center"/>
          </w:tcPr>
          <w:p w14:paraId="4AA4934A">
            <w:pPr>
              <w:spacing w:line="360" w:lineRule="auto"/>
              <w:ind w:firstLine="420" w:firstLineChars="200"/>
              <w:rPr>
                <w:rFonts w:ascii="宋体" w:hAnsi="宋体"/>
                <w:sz w:val="21"/>
                <w:szCs w:val="21"/>
                <w:highlight w:val="none"/>
              </w:rPr>
            </w:pPr>
            <w:r>
              <w:rPr>
                <w:rFonts w:hint="eastAsia" w:ascii="宋体" w:hAnsi="宋体"/>
                <w:sz w:val="21"/>
                <w:szCs w:val="21"/>
                <w:highlight w:val="none"/>
              </w:rPr>
              <w:t>构成本比选文件各组成部分的文件，未经比选人书面同意，比选申请人不得擅自复印和用于非本比选项目所需的其他目的。比选人全部或者部分使用未中选人比选申请文件中的技术成果或技术方案时，须征得其书面同意，并不得擅自复印或提供给第三人。</w:t>
            </w:r>
          </w:p>
        </w:tc>
      </w:tr>
      <w:tr w14:paraId="4532350E">
        <w:trPr>
          <w:trHeight w:val="728" w:hRule="atLeast"/>
          <w:jc w:val="center"/>
        </w:trPr>
        <w:tc>
          <w:tcPr>
            <w:tcW w:w="862" w:type="dxa"/>
            <w:noWrap w:val="0"/>
            <w:vAlign w:val="center"/>
          </w:tcPr>
          <w:p w14:paraId="77F6FBFB">
            <w:pPr>
              <w:spacing w:line="360" w:lineRule="auto"/>
              <w:jc w:val="center"/>
              <w:rPr>
                <w:rFonts w:hint="eastAsia" w:ascii="宋体" w:hAnsi="宋体"/>
                <w:sz w:val="21"/>
                <w:szCs w:val="21"/>
                <w:highlight w:val="none"/>
              </w:rPr>
            </w:pPr>
            <w:r>
              <w:rPr>
                <w:rFonts w:hint="eastAsia" w:ascii="宋体" w:hAnsi="宋体"/>
                <w:sz w:val="21"/>
                <w:szCs w:val="21"/>
                <w:highlight w:val="none"/>
              </w:rPr>
              <w:t>10.</w:t>
            </w:r>
            <w:r>
              <w:rPr>
                <w:rFonts w:ascii="宋体" w:hAnsi="宋体"/>
                <w:sz w:val="21"/>
                <w:szCs w:val="21"/>
                <w:highlight w:val="none"/>
              </w:rPr>
              <w:t>9</w:t>
            </w:r>
          </w:p>
        </w:tc>
        <w:tc>
          <w:tcPr>
            <w:tcW w:w="1626" w:type="dxa"/>
            <w:gridSpan w:val="2"/>
            <w:noWrap w:val="0"/>
            <w:vAlign w:val="center"/>
          </w:tcPr>
          <w:p w14:paraId="6BB6E226">
            <w:pPr>
              <w:spacing w:line="360" w:lineRule="auto"/>
              <w:jc w:val="center"/>
              <w:rPr>
                <w:rFonts w:hint="eastAsia" w:ascii="宋体" w:hAnsi="宋体"/>
                <w:sz w:val="21"/>
                <w:szCs w:val="21"/>
                <w:highlight w:val="none"/>
              </w:rPr>
            </w:pPr>
            <w:r>
              <w:rPr>
                <w:rFonts w:hint="eastAsia" w:ascii="宋体" w:hAnsi="宋体"/>
                <w:sz w:val="21"/>
                <w:szCs w:val="21"/>
                <w:highlight w:val="none"/>
              </w:rPr>
              <w:t>签订合同</w:t>
            </w:r>
          </w:p>
        </w:tc>
        <w:tc>
          <w:tcPr>
            <w:tcW w:w="6224" w:type="dxa"/>
            <w:noWrap w:val="0"/>
            <w:vAlign w:val="center"/>
          </w:tcPr>
          <w:p w14:paraId="61FB4D34">
            <w:pPr>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比选人和中选人应当签订书面合同，合同的标的、价款、质量、履行期限等主要条款应当与比选文件和中选人的比选申请文件的内容一致。比选人和中选人不得再行订立背离合同实质性内容的其他协议。</w:t>
            </w:r>
          </w:p>
          <w:p w14:paraId="6067BE58">
            <w:pPr>
              <w:spacing w:line="360" w:lineRule="auto"/>
              <w:ind w:firstLine="420" w:firstLineChars="200"/>
              <w:rPr>
                <w:rFonts w:hint="eastAsia" w:ascii="宋体" w:hAnsi="宋体"/>
                <w:sz w:val="21"/>
                <w:szCs w:val="21"/>
                <w:highlight w:val="none"/>
              </w:rPr>
            </w:pPr>
            <w:r>
              <w:rPr>
                <w:rFonts w:hint="eastAsia" w:ascii="宋体" w:hAnsi="宋体" w:cs="宋体"/>
                <w:sz w:val="21"/>
                <w:szCs w:val="21"/>
                <w:highlight w:val="none"/>
                <w:lang w:val="zh-CN"/>
              </w:rPr>
              <w:t>比选申请人在收到中选通知书后30日内签订合同。</w:t>
            </w:r>
          </w:p>
        </w:tc>
      </w:tr>
      <w:tr w14:paraId="20F4B23E">
        <w:trPr>
          <w:trHeight w:val="766" w:hRule="atLeast"/>
          <w:jc w:val="center"/>
        </w:trPr>
        <w:tc>
          <w:tcPr>
            <w:tcW w:w="862" w:type="dxa"/>
            <w:noWrap w:val="0"/>
            <w:vAlign w:val="center"/>
          </w:tcPr>
          <w:p w14:paraId="1865708D">
            <w:pPr>
              <w:spacing w:line="360" w:lineRule="auto"/>
              <w:jc w:val="center"/>
              <w:rPr>
                <w:rFonts w:hint="eastAsia" w:ascii="宋体" w:hAnsi="宋体"/>
                <w:sz w:val="21"/>
                <w:szCs w:val="21"/>
                <w:highlight w:val="none"/>
              </w:rPr>
            </w:pPr>
            <w:r>
              <w:rPr>
                <w:rFonts w:hint="eastAsia" w:ascii="宋体" w:hAnsi="宋体"/>
                <w:sz w:val="21"/>
                <w:szCs w:val="21"/>
                <w:highlight w:val="none"/>
              </w:rPr>
              <w:t>10.1</w:t>
            </w:r>
            <w:r>
              <w:rPr>
                <w:rFonts w:ascii="宋体" w:hAnsi="宋体"/>
                <w:sz w:val="21"/>
                <w:szCs w:val="21"/>
                <w:highlight w:val="none"/>
              </w:rPr>
              <w:t>0</w:t>
            </w:r>
          </w:p>
        </w:tc>
        <w:tc>
          <w:tcPr>
            <w:tcW w:w="1626" w:type="dxa"/>
            <w:gridSpan w:val="2"/>
            <w:noWrap w:val="0"/>
            <w:vAlign w:val="center"/>
          </w:tcPr>
          <w:p w14:paraId="5431179D">
            <w:pPr>
              <w:spacing w:line="360" w:lineRule="auto"/>
              <w:jc w:val="center"/>
              <w:rPr>
                <w:rFonts w:hint="eastAsia" w:ascii="宋体" w:hAnsi="宋体"/>
                <w:sz w:val="21"/>
                <w:szCs w:val="21"/>
                <w:highlight w:val="none"/>
              </w:rPr>
            </w:pPr>
            <w:r>
              <w:rPr>
                <w:rFonts w:hint="eastAsia" w:ascii="宋体" w:hAnsi="宋体"/>
                <w:sz w:val="21"/>
                <w:szCs w:val="21"/>
                <w:highlight w:val="none"/>
              </w:rPr>
              <w:t>一致性</w:t>
            </w:r>
          </w:p>
        </w:tc>
        <w:tc>
          <w:tcPr>
            <w:tcW w:w="6224" w:type="dxa"/>
            <w:noWrap w:val="0"/>
            <w:vAlign w:val="center"/>
          </w:tcPr>
          <w:p w14:paraId="18E0BA11">
            <w:pPr>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如本比选文件比选申请人须知前附表所述内容与比选申请人须知</w:t>
            </w:r>
            <w:r>
              <w:rPr>
                <w:rFonts w:hint="eastAsia" w:ascii="宋体" w:hAnsi="宋体" w:cs="Arial"/>
                <w:bCs/>
                <w:sz w:val="21"/>
                <w:szCs w:val="21"/>
                <w:highlight w:val="none"/>
              </w:rPr>
              <w:t>正文部分</w:t>
            </w:r>
            <w:r>
              <w:rPr>
                <w:rFonts w:hint="eastAsia" w:ascii="宋体" w:hAnsi="宋体"/>
                <w:bCs/>
                <w:sz w:val="21"/>
                <w:szCs w:val="21"/>
                <w:highlight w:val="none"/>
              </w:rPr>
              <w:t>所述内容不一致或比选文件比选申请人须知</w:t>
            </w:r>
            <w:r>
              <w:rPr>
                <w:rFonts w:hint="eastAsia" w:ascii="宋体" w:hAnsi="宋体" w:cs="Arial"/>
                <w:bCs/>
                <w:sz w:val="21"/>
                <w:szCs w:val="21"/>
                <w:highlight w:val="none"/>
              </w:rPr>
              <w:t>正文部分</w:t>
            </w:r>
            <w:r>
              <w:rPr>
                <w:rFonts w:hint="eastAsia" w:ascii="宋体" w:hAnsi="宋体"/>
                <w:bCs/>
                <w:sz w:val="21"/>
                <w:szCs w:val="21"/>
                <w:highlight w:val="none"/>
              </w:rPr>
              <w:t>中表述不明时，以比选申请人须知前附表的所述内容为准。</w:t>
            </w:r>
          </w:p>
        </w:tc>
      </w:tr>
      <w:tr w14:paraId="0514EFC4">
        <w:trPr>
          <w:trHeight w:val="766" w:hRule="atLeast"/>
          <w:jc w:val="center"/>
        </w:trPr>
        <w:tc>
          <w:tcPr>
            <w:tcW w:w="862" w:type="dxa"/>
            <w:noWrap w:val="0"/>
            <w:vAlign w:val="center"/>
          </w:tcPr>
          <w:p w14:paraId="2F9E7289">
            <w:pPr>
              <w:spacing w:line="360" w:lineRule="auto"/>
              <w:jc w:val="center"/>
              <w:rPr>
                <w:rFonts w:hint="eastAsia" w:ascii="宋体" w:hAnsi="宋体"/>
                <w:sz w:val="21"/>
                <w:szCs w:val="21"/>
                <w:highlight w:val="none"/>
              </w:rPr>
            </w:pPr>
            <w:r>
              <w:rPr>
                <w:rFonts w:hint="eastAsia" w:ascii="宋体" w:hAnsi="宋体"/>
                <w:sz w:val="21"/>
                <w:szCs w:val="21"/>
                <w:highlight w:val="none"/>
              </w:rPr>
              <w:t>1</w:t>
            </w:r>
            <w:r>
              <w:rPr>
                <w:rFonts w:ascii="宋体" w:hAnsi="宋体"/>
                <w:sz w:val="21"/>
                <w:szCs w:val="21"/>
                <w:highlight w:val="none"/>
              </w:rPr>
              <w:t>0.11</w:t>
            </w:r>
          </w:p>
        </w:tc>
        <w:tc>
          <w:tcPr>
            <w:tcW w:w="1626" w:type="dxa"/>
            <w:gridSpan w:val="2"/>
            <w:noWrap w:val="0"/>
            <w:vAlign w:val="center"/>
          </w:tcPr>
          <w:p w14:paraId="797DDF8C">
            <w:pPr>
              <w:tabs>
                <w:tab w:val="right" w:leader="dot" w:pos="9628"/>
              </w:tabs>
              <w:autoSpaceDE w:val="0"/>
              <w:autoSpaceDN w:val="0"/>
              <w:adjustRightInd w:val="0"/>
              <w:spacing w:line="360" w:lineRule="auto"/>
              <w:jc w:val="center"/>
              <w:rPr>
                <w:rFonts w:ascii="宋体" w:hAnsi="宋体" w:cs="宋体"/>
                <w:b/>
                <w:sz w:val="21"/>
                <w:szCs w:val="21"/>
                <w:highlight w:val="none"/>
                <w:lang w:val="zh-CN"/>
              </w:rPr>
            </w:pPr>
            <w:r>
              <w:rPr>
                <w:rFonts w:hint="eastAsia" w:ascii="宋体" w:hAnsi="宋体"/>
                <w:bCs/>
                <w:sz w:val="21"/>
                <w:szCs w:val="21"/>
                <w:highlight w:val="none"/>
              </w:rPr>
              <w:t>特别注意</w:t>
            </w:r>
          </w:p>
        </w:tc>
        <w:tc>
          <w:tcPr>
            <w:tcW w:w="6224" w:type="dxa"/>
            <w:noWrap w:val="0"/>
            <w:vAlign w:val="center"/>
          </w:tcPr>
          <w:p w14:paraId="0524984D">
            <w:pPr>
              <w:spacing w:line="360" w:lineRule="auto"/>
              <w:ind w:firstLine="420" w:firstLineChars="200"/>
              <w:rPr>
                <w:rFonts w:ascii="宋体" w:hAnsi="宋体" w:cs="宋体"/>
                <w:bCs/>
                <w:sz w:val="21"/>
                <w:szCs w:val="21"/>
                <w:highlight w:val="none"/>
                <w:lang w:val="zh-CN"/>
              </w:rPr>
            </w:pPr>
            <w:r>
              <w:rPr>
                <w:rFonts w:hint="eastAsia" w:ascii="宋体" w:hAnsi="宋体" w:cs="宋体"/>
                <w:bCs/>
                <w:sz w:val="21"/>
                <w:szCs w:val="21"/>
                <w:highlight w:val="none"/>
                <w:lang w:val="zh-CN"/>
              </w:rPr>
              <w:t>①</w:t>
            </w:r>
            <w:r>
              <w:rPr>
                <w:rFonts w:ascii="宋体" w:hAnsi="宋体" w:cs="宋体"/>
                <w:bCs/>
                <w:sz w:val="21"/>
                <w:szCs w:val="21"/>
                <w:highlight w:val="none"/>
                <w:lang w:val="zh-CN"/>
              </w:rPr>
              <w:t>本比选文件（含补</w:t>
            </w:r>
            <w:r>
              <w:rPr>
                <w:rFonts w:hint="eastAsia" w:ascii="宋体" w:hAnsi="宋体" w:cs="宋体"/>
                <w:bCs/>
                <w:sz w:val="21"/>
                <w:szCs w:val="21"/>
                <w:highlight w:val="none"/>
                <w:lang w:val="zh-CN"/>
              </w:rPr>
              <w:t>遗</w:t>
            </w:r>
            <w:r>
              <w:rPr>
                <w:rFonts w:ascii="宋体" w:hAnsi="宋体" w:cs="宋体"/>
                <w:bCs/>
                <w:sz w:val="21"/>
                <w:szCs w:val="21"/>
                <w:highlight w:val="none"/>
                <w:lang w:val="zh-CN"/>
              </w:rPr>
              <w:t>文件、答疑文件）是签订合同的主要依据，合同条款中涉及本比选文件的条款应当与本比选文件（含补</w:t>
            </w:r>
            <w:r>
              <w:rPr>
                <w:rFonts w:hint="eastAsia" w:ascii="宋体" w:hAnsi="宋体" w:cs="宋体"/>
                <w:bCs/>
                <w:sz w:val="21"/>
                <w:szCs w:val="21"/>
                <w:highlight w:val="none"/>
                <w:lang w:val="zh-CN"/>
              </w:rPr>
              <w:t>遗</w:t>
            </w:r>
            <w:r>
              <w:rPr>
                <w:rFonts w:ascii="宋体" w:hAnsi="宋体" w:cs="宋体"/>
                <w:bCs/>
                <w:sz w:val="21"/>
                <w:szCs w:val="21"/>
                <w:highlight w:val="none"/>
                <w:lang w:val="zh-CN"/>
              </w:rPr>
              <w:t>文件、答疑文件）相一致</w:t>
            </w:r>
            <w:r>
              <w:rPr>
                <w:rFonts w:hint="eastAsia" w:ascii="宋体" w:hAnsi="宋体" w:cs="宋体"/>
                <w:bCs/>
                <w:sz w:val="21"/>
                <w:szCs w:val="21"/>
                <w:highlight w:val="none"/>
                <w:lang w:val="zh-CN"/>
              </w:rPr>
              <w:t>；</w:t>
            </w:r>
          </w:p>
          <w:p w14:paraId="44FC5A60">
            <w:pPr>
              <w:spacing w:line="360" w:lineRule="auto"/>
              <w:ind w:firstLine="420"/>
              <w:rPr>
                <w:rFonts w:ascii="宋体" w:hAnsi="宋体" w:cs="宋体"/>
                <w:bCs/>
                <w:sz w:val="21"/>
                <w:szCs w:val="21"/>
                <w:highlight w:val="none"/>
                <w:lang w:val="zh-CN"/>
              </w:rPr>
            </w:pPr>
            <w:r>
              <w:rPr>
                <w:rFonts w:hint="eastAsia" w:ascii="宋体" w:hAnsi="宋体" w:cs="宋体"/>
                <w:bCs/>
                <w:sz w:val="21"/>
                <w:szCs w:val="21"/>
                <w:highlight w:val="none"/>
                <w:lang w:val="zh-CN"/>
              </w:rPr>
              <w:t>②</w:t>
            </w:r>
            <w:r>
              <w:rPr>
                <w:rFonts w:ascii="宋体" w:hAnsi="宋体" w:cs="宋体"/>
                <w:bCs/>
                <w:sz w:val="21"/>
                <w:szCs w:val="21"/>
                <w:highlight w:val="none"/>
                <w:lang w:val="zh-CN"/>
              </w:rPr>
              <w:t>比选申请人对本比选文件自行做出的理解、解释、推论、判断和应用，比选人概不负责。由于比选申请人对本比选文件的任何误解【含重大误解】所造成的后果，均由比选申请人自负</w:t>
            </w:r>
            <w:r>
              <w:rPr>
                <w:rFonts w:hint="eastAsia" w:ascii="宋体" w:hAnsi="宋体" w:cs="宋体"/>
                <w:bCs/>
                <w:sz w:val="21"/>
                <w:szCs w:val="21"/>
                <w:highlight w:val="none"/>
                <w:lang w:val="zh-CN"/>
              </w:rPr>
              <w:t>；</w:t>
            </w:r>
          </w:p>
          <w:p w14:paraId="4FB92A6B">
            <w:pPr>
              <w:spacing w:line="360" w:lineRule="auto"/>
              <w:ind w:firstLine="420"/>
              <w:rPr>
                <w:rFonts w:ascii="宋体" w:hAnsi="宋体" w:cs="宋体"/>
                <w:bCs/>
                <w:sz w:val="21"/>
                <w:szCs w:val="21"/>
                <w:highlight w:val="none"/>
                <w:lang w:val="zh-CN"/>
              </w:rPr>
            </w:pPr>
            <w:r>
              <w:rPr>
                <w:rFonts w:hint="eastAsia" w:ascii="宋体" w:hAnsi="宋体" w:cs="宋体"/>
                <w:bCs/>
                <w:sz w:val="21"/>
                <w:szCs w:val="21"/>
                <w:highlight w:val="none"/>
                <w:lang w:val="zh-CN"/>
              </w:rPr>
              <w:t>③如果比选申请人发现本比选文件中存在错误（包括但不限于：各个组成部分之间出现歧义或存在相互矛盾；组成文件中出现明显或不符合思维逻辑等的错误；打印错误等）时，比选申请人应</w:t>
            </w:r>
            <w:r>
              <w:rPr>
                <w:rFonts w:ascii="宋体" w:hAnsi="宋体" w:cs="宋体"/>
                <w:bCs/>
                <w:sz w:val="21"/>
                <w:szCs w:val="21"/>
                <w:highlight w:val="none"/>
                <w:lang w:val="zh-CN"/>
              </w:rPr>
              <w:t>提出质疑文件。逾期即视为比选申请人完全认同上述比选文件内容。视为比选申请人在</w:t>
            </w:r>
            <w:r>
              <w:rPr>
                <w:rFonts w:hint="eastAsia" w:ascii="宋体" w:hAnsi="宋体" w:cs="宋体"/>
                <w:bCs/>
                <w:sz w:val="21"/>
                <w:szCs w:val="21"/>
                <w:highlight w:val="none"/>
                <w:lang w:val="zh-CN"/>
              </w:rPr>
              <w:t>报价</w:t>
            </w:r>
            <w:r>
              <w:rPr>
                <w:rFonts w:ascii="宋体" w:hAnsi="宋体" w:cs="宋体"/>
                <w:bCs/>
                <w:sz w:val="21"/>
                <w:szCs w:val="21"/>
                <w:highlight w:val="none"/>
                <w:lang w:val="zh-CN"/>
              </w:rPr>
              <w:t>过程中未能发现并对有关歧义、矛盾、错误提出质疑，中</w:t>
            </w:r>
            <w:r>
              <w:rPr>
                <w:rFonts w:hint="eastAsia" w:ascii="宋体" w:hAnsi="宋体" w:cs="宋体"/>
                <w:bCs/>
                <w:sz w:val="21"/>
                <w:szCs w:val="21"/>
                <w:highlight w:val="none"/>
                <w:lang w:val="zh-CN"/>
              </w:rPr>
              <w:t>选</w:t>
            </w:r>
            <w:r>
              <w:rPr>
                <w:rFonts w:ascii="宋体" w:hAnsi="宋体" w:cs="宋体"/>
                <w:bCs/>
                <w:sz w:val="21"/>
                <w:szCs w:val="21"/>
                <w:highlight w:val="none"/>
                <w:lang w:val="zh-CN"/>
              </w:rPr>
              <w:t>后，比选申请人必须接受由比选人依据合同有关条款</w:t>
            </w:r>
            <w:r>
              <w:rPr>
                <w:rFonts w:hint="eastAsia" w:ascii="宋体" w:hAnsi="宋体" w:cs="宋体"/>
                <w:bCs/>
                <w:sz w:val="21"/>
                <w:szCs w:val="21"/>
                <w:highlight w:val="none"/>
                <w:lang w:val="zh-CN"/>
              </w:rPr>
              <w:t>作出的书面解释；</w:t>
            </w:r>
          </w:p>
          <w:p w14:paraId="3AF5BBBE">
            <w:pPr>
              <w:spacing w:line="360" w:lineRule="auto"/>
              <w:ind w:firstLine="420" w:firstLineChars="200"/>
              <w:rPr>
                <w:rFonts w:hint="eastAsia" w:ascii="宋体" w:hAnsi="宋体" w:cs="宋体"/>
                <w:sz w:val="21"/>
                <w:szCs w:val="21"/>
                <w:highlight w:val="none"/>
                <w:lang w:val="zh-CN"/>
              </w:rPr>
            </w:pPr>
            <w:r>
              <w:rPr>
                <w:rFonts w:hint="eastAsia" w:ascii="宋体" w:hAnsi="宋体" w:cs="宋体"/>
                <w:sz w:val="21"/>
                <w:szCs w:val="21"/>
                <w:highlight w:val="none"/>
                <w:lang w:val="zh-CN"/>
              </w:rPr>
              <w:t>④</w:t>
            </w:r>
            <w:r>
              <w:rPr>
                <w:rFonts w:ascii="宋体" w:hAnsi="宋体" w:cs="宋体"/>
                <w:sz w:val="21"/>
                <w:szCs w:val="21"/>
                <w:highlight w:val="none"/>
                <w:lang w:val="zh-CN"/>
              </w:rPr>
              <w:t>比选申请人应当充分理解比选人在比选文件中为其设定的所有义务、责任和条件，并在其报价中全面体现。对于项目中比选申请人自身需要投入的所有资源，比选申请人应当以满足其全面履行比选人在比选文件中为其设定的合同义务、责任和条件之需要为原则，并结合其自身的</w:t>
            </w:r>
            <w:r>
              <w:rPr>
                <w:rFonts w:hint="eastAsia" w:ascii="宋体" w:hAnsi="宋体" w:cs="宋体"/>
                <w:sz w:val="21"/>
                <w:szCs w:val="21"/>
                <w:highlight w:val="none"/>
                <w:lang w:val="zh-CN"/>
              </w:rPr>
              <w:t>服务</w:t>
            </w:r>
            <w:r>
              <w:rPr>
                <w:rFonts w:ascii="宋体" w:hAnsi="宋体" w:cs="宋体"/>
                <w:sz w:val="21"/>
                <w:szCs w:val="21"/>
                <w:highlight w:val="none"/>
                <w:lang w:val="zh-CN"/>
              </w:rPr>
              <w:t>方案进行报价。</w:t>
            </w:r>
          </w:p>
        </w:tc>
      </w:tr>
      <w:tr w14:paraId="504C2580">
        <w:trPr>
          <w:trHeight w:val="766" w:hRule="atLeast"/>
          <w:jc w:val="center"/>
        </w:trPr>
        <w:tc>
          <w:tcPr>
            <w:tcW w:w="862" w:type="dxa"/>
            <w:noWrap w:val="0"/>
            <w:vAlign w:val="center"/>
          </w:tcPr>
          <w:p w14:paraId="56DE5A3E">
            <w:pPr>
              <w:spacing w:line="360" w:lineRule="auto"/>
              <w:jc w:val="center"/>
              <w:rPr>
                <w:rFonts w:hint="eastAsia" w:ascii="宋体" w:hAnsi="宋体"/>
                <w:sz w:val="21"/>
                <w:szCs w:val="21"/>
                <w:highlight w:val="none"/>
              </w:rPr>
            </w:pPr>
            <w:r>
              <w:rPr>
                <w:rFonts w:hint="eastAsia" w:ascii="宋体" w:hAnsi="宋体"/>
                <w:sz w:val="21"/>
                <w:szCs w:val="21"/>
                <w:highlight w:val="none"/>
              </w:rPr>
              <w:t>10.12</w:t>
            </w:r>
          </w:p>
        </w:tc>
        <w:tc>
          <w:tcPr>
            <w:tcW w:w="1626" w:type="dxa"/>
            <w:gridSpan w:val="2"/>
            <w:noWrap w:val="0"/>
            <w:vAlign w:val="center"/>
          </w:tcPr>
          <w:p w14:paraId="798E0AEB">
            <w:pPr>
              <w:tabs>
                <w:tab w:val="right" w:leader="dot" w:pos="9628"/>
              </w:tabs>
              <w:autoSpaceDE w:val="0"/>
              <w:autoSpaceDN w:val="0"/>
              <w:adjustRightInd w:val="0"/>
              <w:spacing w:line="360" w:lineRule="auto"/>
              <w:jc w:val="center"/>
              <w:rPr>
                <w:rFonts w:hint="eastAsia" w:ascii="宋体" w:hAnsi="宋体"/>
                <w:bCs/>
                <w:sz w:val="21"/>
                <w:szCs w:val="21"/>
                <w:highlight w:val="none"/>
              </w:rPr>
            </w:pPr>
            <w:r>
              <w:rPr>
                <w:rFonts w:hint="eastAsia" w:ascii="宋体" w:hAnsi="宋体"/>
                <w:bCs/>
                <w:sz w:val="21"/>
                <w:szCs w:val="21"/>
                <w:highlight w:val="none"/>
              </w:rPr>
              <w:t>评审及中选结果特别说明</w:t>
            </w:r>
          </w:p>
        </w:tc>
        <w:tc>
          <w:tcPr>
            <w:tcW w:w="6224" w:type="dxa"/>
            <w:noWrap w:val="0"/>
            <w:vAlign w:val="center"/>
          </w:tcPr>
          <w:p w14:paraId="123E3A15">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1、评审委员会按照比选文件要求进行初步评审和详细评审，形成首次详细评审排名。</w:t>
            </w:r>
          </w:p>
          <w:p w14:paraId="38EDA07A">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2、比选对象的确定：按照首次详细评审得分排名前30%的比选申请人获得比选谈判资格，被确定为比选对象。若首次详细评审得分排名前30%的比选申请人不足3人，首次详细评审得分从高到低前3名，被确定为比选对象。</w:t>
            </w:r>
          </w:p>
          <w:p w14:paraId="16F327AA">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3、比选谈判：评审委员会所有成员集中与比选对象逐一进行谈判，形成《谈判纪要》。在谈判中，谈判的任何一方不得透露与谈判有关的其他比选对象的价格等信息。</w:t>
            </w:r>
          </w:p>
          <w:p w14:paraId="1D40F96D">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4、最后报价和最终评分：评比结束后，评审委员会应当要求所有参加谈判的比选对象在规定时间内进行最后报价。评审委员会根据比选规则和比选对象最后报价进行最终评审，将比选对象最后报价替换首次详细评审的首次报价得出最终报价得分，其他评分项不变，进行最终评分。形成评审报告，确定中选候选人排名。</w:t>
            </w:r>
          </w:p>
          <w:p w14:paraId="6E93F1ED">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5、确定中选人：招采单位应在评审结束后 5个工作日内确定中选人。招采单位审核评审报告，确定排名第一的中选候选人为中选人。比选文件约定需选择多个中选人时，应按推荐排序依次确定。排名靠前的中选候选人放弃中选、因不可抗力不能履行合同、不按照比选文件提交履约保证金、被查实存在影响中选结果的违法行为等情形，招采单位可以根据评标委员会的推荐排序依次确定其他候选人为中选人或重新比选。</w:t>
            </w:r>
          </w:p>
          <w:p w14:paraId="68BC6241">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6、中选结果公告：招采单位应当自中选人确定之日起 2 个工作日内通过四川瑞华合纵实业有限公司官网等渠道公布中选结果，中选公告期限不少于 1 个工作日。</w:t>
            </w:r>
          </w:p>
        </w:tc>
      </w:tr>
    </w:tbl>
    <w:p w14:paraId="4E12820A">
      <w:pPr>
        <w:spacing w:line="360" w:lineRule="auto"/>
        <w:rPr>
          <w:rFonts w:hint="eastAsia" w:ascii="宋体" w:hAnsi="宋体"/>
          <w:b/>
          <w:sz w:val="28"/>
          <w:szCs w:val="28"/>
          <w:highlight w:val="none"/>
        </w:rPr>
      </w:pPr>
      <w:bookmarkStart w:id="80" w:name="_Toc231977611"/>
      <w:bookmarkStart w:id="81" w:name="_Toc219628458"/>
      <w:r>
        <w:rPr>
          <w:rFonts w:ascii="宋体" w:hAnsi="宋体"/>
          <w:b/>
          <w:sz w:val="28"/>
          <w:szCs w:val="28"/>
          <w:highlight w:val="none"/>
        </w:rPr>
        <w:br w:type="page"/>
      </w:r>
    </w:p>
    <w:bookmarkEnd w:id="80"/>
    <w:bookmarkEnd w:id="81"/>
    <w:p w14:paraId="66C88F51">
      <w:pPr>
        <w:pStyle w:val="302"/>
        <w:ind w:left="0" w:leftChars="0" w:firstLine="0" w:firstLineChars="0"/>
        <w:outlineLvl w:val="0"/>
        <w:rPr>
          <w:highlight w:val="none"/>
        </w:rPr>
      </w:pPr>
      <w:bookmarkStart w:id="82" w:name="_Toc177660917"/>
      <w:bookmarkStart w:id="83" w:name="_Toc321515863"/>
      <w:bookmarkStart w:id="84" w:name="_Toc493515844"/>
      <w:bookmarkStart w:id="85" w:name="_Toc493516182"/>
      <w:bookmarkStart w:id="86" w:name="_Toc493515994"/>
      <w:bookmarkStart w:id="87" w:name="_Toc25073228"/>
      <w:bookmarkStart w:id="88" w:name="_Toc321514531"/>
      <w:bookmarkStart w:id="89" w:name="_Toc493516096"/>
      <w:bookmarkStart w:id="90" w:name="_Toc150512259"/>
      <w:bookmarkStart w:id="91" w:name="_Toc534192159"/>
      <w:bookmarkStart w:id="92" w:name="_Toc33284305"/>
      <w:bookmarkStart w:id="93" w:name="_Toc219267847"/>
      <w:r>
        <w:rPr>
          <w:highlight w:val="none"/>
        </w:rPr>
        <w:t>比选申请人须知</w:t>
      </w:r>
      <w:bookmarkEnd w:id="82"/>
      <w:bookmarkEnd w:id="83"/>
      <w:bookmarkEnd w:id="84"/>
      <w:bookmarkEnd w:id="85"/>
      <w:bookmarkEnd w:id="86"/>
      <w:bookmarkEnd w:id="87"/>
      <w:bookmarkEnd w:id="88"/>
      <w:bookmarkEnd w:id="89"/>
      <w:bookmarkEnd w:id="90"/>
      <w:bookmarkEnd w:id="91"/>
    </w:p>
    <w:p w14:paraId="6B508B5E">
      <w:pPr>
        <w:pStyle w:val="2"/>
        <w:widowControl/>
        <w:numPr>
          <w:ilvl w:val="0"/>
          <w:numId w:val="10"/>
        </w:numPr>
        <w:tabs>
          <w:tab w:val="left" w:pos="860"/>
          <w:tab w:val="clear" w:pos="210"/>
        </w:tabs>
        <w:ind w:left="0" w:leftChars="0" w:firstLine="480" w:firstLineChars="200"/>
        <w:rPr>
          <w:b/>
          <w:highlight w:val="none"/>
        </w:rPr>
      </w:pPr>
      <w:bookmarkStart w:id="94" w:name="_Toc493515995"/>
      <w:bookmarkStart w:id="95" w:name="_Toc150512260"/>
      <w:bookmarkStart w:id="96" w:name="_Toc25073229"/>
      <w:bookmarkStart w:id="97" w:name="_Toc493516183"/>
      <w:bookmarkStart w:id="98" w:name="_Toc177660918"/>
      <w:bookmarkStart w:id="99" w:name="_Toc321515864"/>
      <w:bookmarkStart w:id="100" w:name="_Toc493515845"/>
      <w:bookmarkStart w:id="101" w:name="_Toc493516097"/>
      <w:bookmarkStart w:id="102" w:name="_Toc321514532"/>
      <w:bookmarkStart w:id="103" w:name="_Toc534192160"/>
      <w:r>
        <w:rPr>
          <w:highlight w:val="none"/>
        </w:rPr>
        <w:t>总则</w:t>
      </w:r>
      <w:bookmarkEnd w:id="94"/>
      <w:bookmarkEnd w:id="95"/>
      <w:bookmarkEnd w:id="96"/>
      <w:bookmarkEnd w:id="97"/>
      <w:bookmarkEnd w:id="98"/>
      <w:bookmarkEnd w:id="99"/>
      <w:bookmarkEnd w:id="100"/>
      <w:bookmarkEnd w:id="101"/>
      <w:bookmarkEnd w:id="102"/>
      <w:bookmarkEnd w:id="103"/>
    </w:p>
    <w:p w14:paraId="6742F306">
      <w:pPr>
        <w:pStyle w:val="3"/>
        <w:widowControl/>
        <w:numPr>
          <w:ilvl w:val="0"/>
          <w:numId w:val="11"/>
        </w:numPr>
        <w:tabs>
          <w:tab w:val="left" w:pos="900"/>
          <w:tab w:val="clear" w:pos="210"/>
        </w:tabs>
        <w:ind w:left="0" w:leftChars="0" w:firstLine="480" w:firstLineChars="200"/>
        <w:rPr>
          <w:rFonts w:hint="eastAsia" w:ascii="宋体" w:hAnsi="宋体" w:eastAsia="宋体" w:cs="宋体"/>
          <w:b/>
          <w:highlight w:val="none"/>
        </w:rPr>
      </w:pPr>
      <w:bookmarkStart w:id="104" w:name="_Toc25073230"/>
      <w:bookmarkStart w:id="105" w:name="_Toc150512261"/>
      <w:bookmarkStart w:id="106" w:name="_Toc320794041"/>
      <w:bookmarkStart w:id="107" w:name="_Toc493516098"/>
      <w:bookmarkStart w:id="108" w:name="_Toc144974498"/>
      <w:bookmarkStart w:id="109" w:name="_Toc493515996"/>
      <w:bookmarkStart w:id="110" w:name="_Toc493516184"/>
      <w:bookmarkStart w:id="111" w:name="_Toc321515865"/>
      <w:bookmarkStart w:id="112" w:name="_Toc493515846"/>
      <w:bookmarkStart w:id="113" w:name="_Toc534192161"/>
      <w:bookmarkStart w:id="114" w:name="_Toc321514977"/>
      <w:bookmarkStart w:id="115" w:name="_Toc152045530"/>
      <w:bookmarkStart w:id="116" w:name="_Toc152042306"/>
      <w:bookmarkStart w:id="117" w:name="_Toc177660919"/>
      <w:bookmarkStart w:id="118" w:name="_Toc321514533"/>
      <w:bookmarkStart w:id="119" w:name="_Toc287906961"/>
      <w:r>
        <w:rPr>
          <w:highlight w:val="none"/>
        </w:rPr>
        <w:t>比选项目概况</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5654863">
      <w:pPr>
        <w:pStyle w:val="19"/>
        <w:widowControl/>
        <w:numPr>
          <w:ilvl w:val="0"/>
          <w:numId w:val="12"/>
        </w:numPr>
        <w:tabs>
          <w:tab w:val="left" w:pos="1080"/>
          <w:tab w:val="clear" w:pos="210"/>
        </w:tabs>
        <w:ind w:left="0" w:leftChars="0" w:firstLine="480" w:firstLineChars="200"/>
        <w:rPr>
          <w:rFonts w:hint="eastAsia" w:ascii="宋体" w:hAnsi="宋体" w:eastAsia="宋体" w:cs="宋体"/>
          <w:b w:val="0"/>
          <w:highlight w:val="none"/>
        </w:rPr>
      </w:pPr>
      <w:r>
        <w:rPr>
          <w:highlight w:val="none"/>
        </w:rPr>
        <w:t>根据有关法律、法规和规章的规定，本比选项目已具备比选条件，现对本项目进行公开比选。</w:t>
      </w:r>
    </w:p>
    <w:p w14:paraId="39F46B34">
      <w:pPr>
        <w:pStyle w:val="19"/>
        <w:widowControl/>
        <w:numPr>
          <w:ilvl w:val="0"/>
          <w:numId w:val="12"/>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比选人：见比选申请人须知前附表。</w:t>
      </w:r>
    </w:p>
    <w:p w14:paraId="130AC4F2">
      <w:pPr>
        <w:pStyle w:val="19"/>
        <w:widowControl/>
        <w:numPr>
          <w:ilvl w:val="0"/>
          <w:numId w:val="12"/>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比选代理机构：见比选申请人须知前附表。</w:t>
      </w:r>
    </w:p>
    <w:p w14:paraId="604100F9">
      <w:pPr>
        <w:pStyle w:val="19"/>
        <w:widowControl/>
        <w:numPr>
          <w:ilvl w:val="0"/>
          <w:numId w:val="12"/>
        </w:numPr>
        <w:tabs>
          <w:tab w:val="left" w:pos="1080"/>
          <w:tab w:val="clear" w:pos="210"/>
        </w:tabs>
        <w:ind w:left="0" w:leftChars="0" w:firstLine="480" w:firstLineChars="200"/>
        <w:rPr>
          <w:b w:val="0"/>
          <w:highlight w:val="none"/>
        </w:rPr>
      </w:pPr>
      <w:r>
        <w:rPr>
          <w:highlight w:val="none"/>
        </w:rPr>
        <w:t>比选项目名称：见比选申请人须知前附表。</w:t>
      </w:r>
    </w:p>
    <w:p w14:paraId="625BA8AC">
      <w:pPr>
        <w:pStyle w:val="3"/>
        <w:widowControl/>
        <w:numPr>
          <w:ilvl w:val="0"/>
          <w:numId w:val="11"/>
        </w:numPr>
        <w:tabs>
          <w:tab w:val="left" w:pos="900"/>
          <w:tab w:val="clear" w:pos="210"/>
        </w:tabs>
        <w:ind w:left="0" w:leftChars="0" w:firstLine="480" w:firstLineChars="200"/>
        <w:rPr>
          <w:rFonts w:hint="eastAsia" w:ascii="宋体" w:hAnsi="宋体" w:eastAsia="宋体" w:cs="宋体"/>
          <w:b/>
          <w:highlight w:val="none"/>
        </w:rPr>
      </w:pPr>
      <w:bookmarkStart w:id="120" w:name="_Toc321515866"/>
      <w:bookmarkStart w:id="121" w:name="_Toc534192162"/>
      <w:bookmarkStart w:id="122" w:name="_Toc144974499"/>
      <w:bookmarkStart w:id="123" w:name="_Toc152042307"/>
      <w:bookmarkStart w:id="124" w:name="_Toc321514534"/>
      <w:bookmarkStart w:id="125" w:name="_Toc493516185"/>
      <w:bookmarkStart w:id="126" w:name="_Toc177660920"/>
      <w:bookmarkStart w:id="127" w:name="_Toc320794042"/>
      <w:bookmarkStart w:id="128" w:name="_Toc321514978"/>
      <w:bookmarkStart w:id="129" w:name="_Toc493515847"/>
      <w:bookmarkStart w:id="130" w:name="_Toc25073231"/>
      <w:bookmarkStart w:id="131" w:name="_Toc493515997"/>
      <w:bookmarkStart w:id="132" w:name="_Toc493516099"/>
      <w:bookmarkStart w:id="133" w:name="_Toc287906962"/>
      <w:bookmarkStart w:id="134" w:name="_Toc152045531"/>
      <w:bookmarkStart w:id="135" w:name="_Toc150512262"/>
      <w:r>
        <w:rPr>
          <w:highlight w:val="none"/>
        </w:rPr>
        <w:t>比选项目的资金来源和落实情况</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E175BD0">
      <w:pPr>
        <w:pStyle w:val="19"/>
        <w:widowControl/>
        <w:numPr>
          <w:ilvl w:val="0"/>
          <w:numId w:val="13"/>
        </w:numPr>
        <w:tabs>
          <w:tab w:val="left" w:pos="1080"/>
          <w:tab w:val="clear" w:pos="210"/>
        </w:tabs>
        <w:ind w:left="0" w:leftChars="0" w:firstLine="480" w:firstLineChars="200"/>
        <w:rPr>
          <w:rFonts w:hint="eastAsia" w:ascii="宋体" w:hAnsi="宋体" w:eastAsia="宋体" w:cs="宋体"/>
          <w:b w:val="0"/>
          <w:highlight w:val="none"/>
        </w:rPr>
      </w:pPr>
      <w:r>
        <w:rPr>
          <w:highlight w:val="none"/>
        </w:rPr>
        <w:t>资金来源及比例：见比选申请人须知前附表。</w:t>
      </w:r>
    </w:p>
    <w:p w14:paraId="6746FEE4">
      <w:pPr>
        <w:pStyle w:val="19"/>
        <w:widowControl/>
        <w:numPr>
          <w:ilvl w:val="0"/>
          <w:numId w:val="13"/>
        </w:numPr>
        <w:tabs>
          <w:tab w:val="left" w:pos="1080"/>
          <w:tab w:val="clear" w:pos="210"/>
        </w:tabs>
        <w:ind w:left="0" w:leftChars="0" w:firstLine="480" w:firstLineChars="200"/>
        <w:rPr>
          <w:rFonts w:hint="eastAsia" w:ascii="宋体" w:hAnsi="宋体" w:eastAsia="宋体" w:cs="宋体"/>
          <w:b w:val="0"/>
          <w:highlight w:val="none"/>
        </w:rPr>
      </w:pPr>
      <w:r>
        <w:rPr>
          <w:highlight w:val="none"/>
        </w:rPr>
        <w:t>资金落实情况：见比选申请人须知前附表。</w:t>
      </w:r>
    </w:p>
    <w:p w14:paraId="49BF397E">
      <w:pPr>
        <w:pStyle w:val="3"/>
        <w:widowControl/>
        <w:numPr>
          <w:ilvl w:val="0"/>
          <w:numId w:val="11"/>
        </w:numPr>
        <w:tabs>
          <w:tab w:val="left" w:pos="900"/>
          <w:tab w:val="clear" w:pos="210"/>
        </w:tabs>
        <w:ind w:left="0" w:leftChars="0" w:firstLine="480" w:firstLineChars="200"/>
        <w:rPr>
          <w:b/>
          <w:highlight w:val="none"/>
        </w:rPr>
      </w:pPr>
      <w:bookmarkStart w:id="136" w:name="_Toc287906963"/>
      <w:bookmarkStart w:id="137" w:name="_Toc321514535"/>
      <w:bookmarkStart w:id="138" w:name="_Toc321514979"/>
      <w:bookmarkStart w:id="139" w:name="_Toc321515867"/>
      <w:bookmarkStart w:id="140" w:name="_Toc152045532"/>
      <w:bookmarkStart w:id="141" w:name="_Toc320794043"/>
      <w:bookmarkStart w:id="142" w:name="_Toc152042308"/>
      <w:bookmarkStart w:id="143" w:name="_Toc144974500"/>
      <w:bookmarkStart w:id="144" w:name="_Toc534192163"/>
      <w:bookmarkStart w:id="145" w:name="_Toc493515998"/>
      <w:bookmarkStart w:id="146" w:name="_Toc493516186"/>
      <w:bookmarkStart w:id="147" w:name="_Toc150512263"/>
      <w:bookmarkStart w:id="148" w:name="_Toc493516100"/>
      <w:bookmarkStart w:id="149" w:name="_Toc493515848"/>
      <w:bookmarkStart w:id="150" w:name="_Toc177660921"/>
      <w:bookmarkStart w:id="151" w:name="_Toc25073232"/>
      <w:r>
        <w:rPr>
          <w:highlight w:val="none"/>
        </w:rPr>
        <w:t>比选范围、</w:t>
      </w:r>
      <w:bookmarkEnd w:id="136"/>
      <w:bookmarkEnd w:id="137"/>
      <w:bookmarkEnd w:id="138"/>
      <w:bookmarkEnd w:id="139"/>
      <w:bookmarkEnd w:id="140"/>
      <w:bookmarkEnd w:id="141"/>
      <w:bookmarkEnd w:id="142"/>
      <w:bookmarkEnd w:id="143"/>
      <w:r>
        <w:rPr>
          <w:highlight w:val="none"/>
        </w:rPr>
        <w:t>服务期限和质量标准</w:t>
      </w:r>
      <w:bookmarkEnd w:id="144"/>
      <w:bookmarkEnd w:id="145"/>
      <w:bookmarkEnd w:id="146"/>
      <w:bookmarkEnd w:id="147"/>
      <w:bookmarkEnd w:id="148"/>
      <w:bookmarkEnd w:id="149"/>
      <w:bookmarkEnd w:id="150"/>
      <w:bookmarkEnd w:id="151"/>
    </w:p>
    <w:p w14:paraId="1C939621">
      <w:pPr>
        <w:pStyle w:val="19"/>
        <w:widowControl/>
        <w:numPr>
          <w:ilvl w:val="0"/>
          <w:numId w:val="1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比选范围：见比选申请人须知前附表。</w:t>
      </w:r>
    </w:p>
    <w:p w14:paraId="7249B463">
      <w:pPr>
        <w:pStyle w:val="19"/>
        <w:widowControl/>
        <w:numPr>
          <w:ilvl w:val="0"/>
          <w:numId w:val="14"/>
        </w:numPr>
        <w:tabs>
          <w:tab w:val="left" w:pos="1080"/>
          <w:tab w:val="clear" w:pos="210"/>
        </w:tabs>
        <w:ind w:left="0" w:leftChars="0" w:firstLine="480" w:firstLineChars="200"/>
        <w:rPr>
          <w:rFonts w:hint="eastAsia" w:ascii="宋体" w:hAnsi="宋体" w:eastAsia="宋体" w:cs="宋体"/>
          <w:b w:val="0"/>
          <w:highlight w:val="none"/>
        </w:rPr>
      </w:pPr>
      <w:r>
        <w:rPr>
          <w:highlight w:val="none"/>
        </w:rPr>
        <w:t>服务期限：见比选申请人须知前附表。</w:t>
      </w:r>
    </w:p>
    <w:p w14:paraId="7408C8A8">
      <w:pPr>
        <w:pStyle w:val="19"/>
        <w:widowControl/>
        <w:numPr>
          <w:ilvl w:val="0"/>
          <w:numId w:val="14"/>
        </w:numPr>
        <w:tabs>
          <w:tab w:val="left" w:pos="1080"/>
          <w:tab w:val="clear" w:pos="210"/>
        </w:tabs>
        <w:ind w:left="0" w:leftChars="0" w:firstLine="480" w:firstLineChars="200"/>
        <w:rPr>
          <w:rFonts w:hint="eastAsia" w:ascii="宋体" w:hAnsi="宋体" w:eastAsia="宋体" w:cs="宋体"/>
          <w:b w:val="0"/>
          <w:highlight w:val="none"/>
        </w:rPr>
      </w:pPr>
      <w:r>
        <w:rPr>
          <w:highlight w:val="none"/>
        </w:rPr>
        <w:t>质量标准：见比选申请人须知前附表。</w:t>
      </w:r>
    </w:p>
    <w:p w14:paraId="09322700">
      <w:pPr>
        <w:pStyle w:val="3"/>
        <w:widowControl/>
        <w:numPr>
          <w:ilvl w:val="0"/>
          <w:numId w:val="11"/>
        </w:numPr>
        <w:tabs>
          <w:tab w:val="left" w:pos="900"/>
          <w:tab w:val="clear" w:pos="210"/>
        </w:tabs>
        <w:ind w:left="0" w:leftChars="0" w:firstLine="480" w:firstLineChars="200"/>
        <w:rPr>
          <w:b/>
          <w:highlight w:val="none"/>
        </w:rPr>
      </w:pPr>
      <w:bookmarkStart w:id="152" w:name="_Toc152042310"/>
      <w:bookmarkStart w:id="153" w:name="_Toc493516101"/>
      <w:bookmarkStart w:id="154" w:name="_Toc152045534"/>
      <w:bookmarkStart w:id="155" w:name="_Toc493516187"/>
      <w:bookmarkStart w:id="156" w:name="_Toc321515868"/>
      <w:bookmarkStart w:id="157" w:name="_Toc321514980"/>
      <w:bookmarkStart w:id="158" w:name="_Toc287906964"/>
      <w:bookmarkStart w:id="159" w:name="_Toc25073233"/>
      <w:bookmarkStart w:id="160" w:name="_Toc144974502"/>
      <w:bookmarkStart w:id="161" w:name="_Toc321514536"/>
      <w:bookmarkStart w:id="162" w:name="_Toc493515849"/>
      <w:bookmarkStart w:id="163" w:name="_Toc493515999"/>
      <w:bookmarkStart w:id="164" w:name="_Toc177660922"/>
      <w:bookmarkStart w:id="165" w:name="_Toc150512264"/>
      <w:bookmarkStart w:id="166" w:name="_Toc320794044"/>
      <w:bookmarkStart w:id="167" w:name="_Toc534192164"/>
      <w:r>
        <w:rPr>
          <w:highlight w:val="none"/>
        </w:rPr>
        <w:t>比选申请人资格要求</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21FEA9B">
      <w:pPr>
        <w:pStyle w:val="19"/>
        <w:widowControl/>
        <w:numPr>
          <w:ilvl w:val="0"/>
          <w:numId w:val="15"/>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比选申请人应具备承担本比选项目资质条件、能力和信誉。</w:t>
      </w:r>
    </w:p>
    <w:p w14:paraId="5AA91D7C">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资质要求：见比选申请人须知前附表；</w:t>
      </w:r>
    </w:p>
    <w:p w14:paraId="4337796A">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财务要求：见比选申请人须知前附表；</w:t>
      </w:r>
    </w:p>
    <w:p w14:paraId="60BB3F1B">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业绩要求：见比选申请人须知前附表；</w:t>
      </w:r>
    </w:p>
    <w:p w14:paraId="13B2A581">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信誉要求：见比选申请人须知前附表；</w:t>
      </w:r>
    </w:p>
    <w:p w14:paraId="72200D03">
      <w:pPr>
        <w:pStyle w:val="19"/>
        <w:widowControl/>
        <w:numPr>
          <w:ilvl w:val="0"/>
          <w:numId w:val="16"/>
        </w:numPr>
        <w:tabs>
          <w:tab w:val="left" w:pos="1080"/>
        </w:tabs>
        <w:topLinePunct w:val="0"/>
        <w:ind w:left="0" w:leftChars="0" w:firstLine="480" w:firstLineChars="200"/>
        <w:rPr>
          <w:rFonts w:hint="eastAsia" w:ascii="宋体" w:hAnsi="宋体" w:eastAsia="宋体" w:cs="宋体"/>
          <w:b w:val="0"/>
          <w:highlight w:val="none"/>
        </w:rPr>
      </w:pPr>
      <w:r>
        <w:rPr>
          <w:highlight w:val="none"/>
        </w:rPr>
        <w:t>其他要求：见比选申请人须知前附表。</w:t>
      </w:r>
    </w:p>
    <w:p w14:paraId="4C4885B6">
      <w:pPr>
        <w:pStyle w:val="19"/>
        <w:widowControl/>
        <w:ind w:left="0" w:leftChars="0" w:firstLine="480" w:firstLineChars="200"/>
        <w:rPr>
          <w:highlight w:val="none"/>
        </w:rPr>
      </w:pPr>
      <w:r>
        <w:rPr>
          <w:highlight w:val="none"/>
        </w:rPr>
        <w:t>须提交的相关证明材料见本章第 3.5 款的规定。</w:t>
      </w:r>
    </w:p>
    <w:p w14:paraId="746863E7">
      <w:pPr>
        <w:pStyle w:val="19"/>
        <w:widowControl/>
        <w:numPr>
          <w:ilvl w:val="0"/>
          <w:numId w:val="15"/>
        </w:numPr>
        <w:tabs>
          <w:tab w:val="left" w:pos="1080"/>
          <w:tab w:val="clear" w:pos="210"/>
        </w:tabs>
        <w:ind w:left="0" w:leftChars="0" w:firstLine="480" w:firstLineChars="200"/>
        <w:rPr>
          <w:b w:val="0"/>
          <w:highlight w:val="none"/>
        </w:rPr>
      </w:pPr>
      <w:r>
        <w:rPr>
          <w:highlight w:val="none"/>
        </w:rPr>
        <w:t xml:space="preserve">比选申请人须知前附表规定接受联合体参选的，联合体除应符合本章第 1.4.1 项和比选申请人须知前附表的要求外，还应遵守以下规定： </w:t>
      </w:r>
    </w:p>
    <w:p w14:paraId="730165DA">
      <w:pPr>
        <w:pStyle w:val="19"/>
        <w:widowControl/>
        <w:numPr>
          <w:ilvl w:val="0"/>
          <w:numId w:val="17"/>
        </w:numPr>
        <w:tabs>
          <w:tab w:val="left" w:pos="1080"/>
        </w:tabs>
        <w:topLinePunct w:val="0"/>
        <w:ind w:left="0" w:leftChars="0" w:firstLine="480" w:firstLineChars="200"/>
        <w:rPr>
          <w:rFonts w:hint="eastAsia" w:ascii="宋体" w:hAnsi="宋体" w:eastAsia="宋体" w:cs="宋体"/>
          <w:b w:val="0"/>
          <w:highlight w:val="none"/>
        </w:rPr>
      </w:pPr>
      <w:r>
        <w:rPr>
          <w:highlight w:val="none"/>
        </w:rPr>
        <w:t>联合体各方应按比选文件提供的格式签订联合体协议书，明确联合体牵头人和各方权利义务，并承诺就中选项目向比选人承担连带责任；</w:t>
      </w:r>
    </w:p>
    <w:p w14:paraId="1B360A65">
      <w:pPr>
        <w:pStyle w:val="19"/>
        <w:widowControl/>
        <w:numPr>
          <w:ilvl w:val="0"/>
          <w:numId w:val="17"/>
        </w:numPr>
        <w:tabs>
          <w:tab w:val="left" w:pos="1080"/>
        </w:tabs>
        <w:topLinePunct w:val="0"/>
        <w:ind w:left="0" w:leftChars="0" w:firstLine="480" w:firstLineChars="200"/>
        <w:rPr>
          <w:rFonts w:hint="eastAsia" w:ascii="宋体" w:hAnsi="宋体" w:eastAsia="宋体" w:cs="宋体"/>
          <w:b w:val="0"/>
          <w:highlight w:val="none"/>
        </w:rPr>
      </w:pPr>
      <w:r>
        <w:rPr>
          <w:highlight w:val="none"/>
        </w:rPr>
        <w:t>由同一专业的单位组成的联合体，按照资质等级较低的单位确定资质等级；</w:t>
      </w:r>
    </w:p>
    <w:p w14:paraId="50AD6CF4">
      <w:pPr>
        <w:pStyle w:val="19"/>
        <w:widowControl/>
        <w:numPr>
          <w:ilvl w:val="0"/>
          <w:numId w:val="17"/>
        </w:numPr>
        <w:tabs>
          <w:tab w:val="left" w:pos="1080"/>
        </w:tabs>
        <w:topLinePunct w:val="0"/>
        <w:ind w:left="0" w:leftChars="0" w:firstLine="480" w:firstLineChars="200"/>
        <w:rPr>
          <w:rFonts w:hint="eastAsia" w:ascii="宋体" w:hAnsi="宋体" w:eastAsia="宋体" w:cs="宋体"/>
          <w:b w:val="0"/>
          <w:highlight w:val="none"/>
        </w:rPr>
      </w:pPr>
      <w:r>
        <w:rPr>
          <w:highlight w:val="none"/>
        </w:rPr>
        <w:t>联合体各方不得再以自己名义单独或参加其他联合体在本比选项目中参选，否则各相关参选均无效。</w:t>
      </w:r>
    </w:p>
    <w:p w14:paraId="13CECBBA">
      <w:pPr>
        <w:pStyle w:val="19"/>
        <w:widowControl/>
        <w:numPr>
          <w:ilvl w:val="0"/>
          <w:numId w:val="15"/>
        </w:numPr>
        <w:tabs>
          <w:tab w:val="left" w:pos="1080"/>
          <w:tab w:val="clear" w:pos="210"/>
        </w:tabs>
        <w:ind w:left="0" w:leftChars="0" w:firstLine="480" w:firstLineChars="200"/>
        <w:rPr>
          <w:b w:val="0"/>
          <w:highlight w:val="none"/>
        </w:rPr>
      </w:pPr>
      <w:r>
        <w:rPr>
          <w:highlight w:val="none"/>
        </w:rPr>
        <w:t>限制比选申请的情形：见比选申请人须知前附表；</w:t>
      </w:r>
    </w:p>
    <w:p w14:paraId="5C6B69F5">
      <w:pPr>
        <w:pStyle w:val="3"/>
        <w:widowControl/>
        <w:numPr>
          <w:ilvl w:val="0"/>
          <w:numId w:val="11"/>
        </w:numPr>
        <w:tabs>
          <w:tab w:val="left" w:pos="900"/>
          <w:tab w:val="clear" w:pos="210"/>
        </w:tabs>
        <w:ind w:left="0" w:leftChars="0" w:firstLine="480" w:firstLineChars="200"/>
        <w:rPr>
          <w:b/>
          <w:highlight w:val="none"/>
        </w:rPr>
      </w:pPr>
      <w:bookmarkStart w:id="168" w:name="_Toc320794045"/>
      <w:bookmarkStart w:id="169" w:name="_Toc152042311"/>
      <w:bookmarkStart w:id="170" w:name="_Toc493516000"/>
      <w:bookmarkStart w:id="171" w:name="_Toc177660923"/>
      <w:bookmarkStart w:id="172" w:name="_Toc144974503"/>
      <w:bookmarkStart w:id="173" w:name="_Toc493515850"/>
      <w:bookmarkStart w:id="174" w:name="_Toc321514537"/>
      <w:bookmarkStart w:id="175" w:name="_Toc287906965"/>
      <w:bookmarkStart w:id="176" w:name="_Toc321515869"/>
      <w:bookmarkStart w:id="177" w:name="_Toc152045535"/>
      <w:bookmarkStart w:id="178" w:name="_Toc493516188"/>
      <w:bookmarkStart w:id="179" w:name="_Toc534192165"/>
      <w:bookmarkStart w:id="180" w:name="_Toc25073234"/>
      <w:bookmarkStart w:id="181" w:name="_Toc321514981"/>
      <w:bookmarkStart w:id="182" w:name="_Toc150512265"/>
      <w:bookmarkStart w:id="183" w:name="_Toc493516102"/>
      <w:r>
        <w:rPr>
          <w:highlight w:val="none"/>
        </w:rPr>
        <w:t>费用承担</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BF3A920">
      <w:pPr>
        <w:pStyle w:val="19"/>
        <w:widowControl/>
        <w:ind w:left="0" w:leftChars="0" w:firstLine="480" w:firstLineChars="200"/>
        <w:rPr>
          <w:highlight w:val="none"/>
        </w:rPr>
      </w:pPr>
      <w:r>
        <w:rPr>
          <w:highlight w:val="none"/>
        </w:rPr>
        <w:t>比选申请人准备和参加比选活动发生的费用自理。</w:t>
      </w:r>
    </w:p>
    <w:p w14:paraId="3A5F6AC1">
      <w:pPr>
        <w:pStyle w:val="3"/>
        <w:widowControl/>
        <w:numPr>
          <w:ilvl w:val="0"/>
          <w:numId w:val="11"/>
        </w:numPr>
        <w:tabs>
          <w:tab w:val="left" w:pos="900"/>
          <w:tab w:val="clear" w:pos="210"/>
        </w:tabs>
        <w:ind w:left="0" w:leftChars="0" w:firstLine="480" w:firstLineChars="200"/>
        <w:rPr>
          <w:b/>
          <w:highlight w:val="none"/>
        </w:rPr>
      </w:pPr>
      <w:bookmarkStart w:id="184" w:name="_Toc150512266"/>
      <w:bookmarkStart w:id="185" w:name="_Toc152042312"/>
      <w:bookmarkStart w:id="186" w:name="_Toc321514538"/>
      <w:bookmarkStart w:id="187" w:name="_Toc287906966"/>
      <w:bookmarkStart w:id="188" w:name="_Toc25073235"/>
      <w:bookmarkStart w:id="189" w:name="_Toc493516001"/>
      <w:bookmarkStart w:id="190" w:name="_Toc493516189"/>
      <w:bookmarkStart w:id="191" w:name="_Toc321515870"/>
      <w:bookmarkStart w:id="192" w:name="_Toc320794046"/>
      <w:bookmarkStart w:id="193" w:name="_Toc152045536"/>
      <w:bookmarkStart w:id="194" w:name="_Toc493516103"/>
      <w:bookmarkStart w:id="195" w:name="_Toc493515851"/>
      <w:bookmarkStart w:id="196" w:name="_Toc534192166"/>
      <w:bookmarkStart w:id="197" w:name="_Toc321514982"/>
      <w:bookmarkStart w:id="198" w:name="_Toc144974504"/>
      <w:bookmarkStart w:id="199" w:name="_Toc177660924"/>
      <w:r>
        <w:rPr>
          <w:highlight w:val="none"/>
        </w:rPr>
        <w:t>保密</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0DD88BF">
      <w:pPr>
        <w:pStyle w:val="19"/>
        <w:widowControl/>
        <w:ind w:left="0" w:leftChars="0" w:firstLine="480" w:firstLineChars="200"/>
        <w:rPr>
          <w:highlight w:val="none"/>
        </w:rPr>
      </w:pPr>
      <w:r>
        <w:rPr>
          <w:highlight w:val="none"/>
        </w:rPr>
        <w:t>参与比选活动的各方应对比选文件和比选申请文件中的商业和技术等秘密保密，否则应承担相应的法律责任。</w:t>
      </w:r>
    </w:p>
    <w:p w14:paraId="6605BF7A">
      <w:pPr>
        <w:pStyle w:val="3"/>
        <w:widowControl/>
        <w:numPr>
          <w:ilvl w:val="0"/>
          <w:numId w:val="11"/>
        </w:numPr>
        <w:tabs>
          <w:tab w:val="left" w:pos="900"/>
          <w:tab w:val="clear" w:pos="210"/>
        </w:tabs>
        <w:ind w:left="0" w:leftChars="0" w:firstLine="480" w:firstLineChars="200"/>
        <w:rPr>
          <w:b/>
          <w:highlight w:val="none"/>
        </w:rPr>
      </w:pPr>
      <w:bookmarkStart w:id="200" w:name="_Toc177660925"/>
      <w:bookmarkStart w:id="201" w:name="_Toc493515852"/>
      <w:bookmarkStart w:id="202" w:name="_Toc534192167"/>
      <w:bookmarkStart w:id="203" w:name="_Toc493516104"/>
      <w:bookmarkStart w:id="204" w:name="_Toc25073236"/>
      <w:bookmarkStart w:id="205" w:name="_Toc150512267"/>
      <w:bookmarkStart w:id="206" w:name="_Toc493516002"/>
      <w:bookmarkStart w:id="207" w:name="_Toc493516190"/>
      <w:r>
        <w:rPr>
          <w:highlight w:val="none"/>
        </w:rPr>
        <w:t>语言文字</w:t>
      </w:r>
      <w:bookmarkEnd w:id="200"/>
      <w:bookmarkEnd w:id="201"/>
      <w:bookmarkEnd w:id="202"/>
      <w:bookmarkEnd w:id="203"/>
      <w:bookmarkEnd w:id="204"/>
      <w:bookmarkEnd w:id="205"/>
      <w:bookmarkEnd w:id="206"/>
      <w:bookmarkEnd w:id="207"/>
    </w:p>
    <w:p w14:paraId="7C575DAF">
      <w:pPr>
        <w:pStyle w:val="19"/>
        <w:widowControl/>
        <w:ind w:left="0" w:leftChars="0" w:firstLine="480" w:firstLineChars="200"/>
        <w:rPr>
          <w:highlight w:val="none"/>
        </w:rPr>
      </w:pPr>
      <w:r>
        <w:rPr>
          <w:highlight w:val="none"/>
        </w:rPr>
        <w:t>比选申请文件使用的语言文字为中文。专用术语使用外文的，应附有中文注释。</w:t>
      </w:r>
    </w:p>
    <w:p w14:paraId="5C2DE44D">
      <w:pPr>
        <w:pStyle w:val="3"/>
        <w:widowControl/>
        <w:numPr>
          <w:ilvl w:val="0"/>
          <w:numId w:val="11"/>
        </w:numPr>
        <w:tabs>
          <w:tab w:val="left" w:pos="900"/>
          <w:tab w:val="clear" w:pos="210"/>
        </w:tabs>
        <w:ind w:left="0" w:leftChars="0" w:firstLine="480" w:firstLineChars="200"/>
        <w:rPr>
          <w:b/>
          <w:highlight w:val="none"/>
        </w:rPr>
      </w:pPr>
      <w:bookmarkStart w:id="208" w:name="_Toc493516191"/>
      <w:bookmarkStart w:id="209" w:name="_Toc534192168"/>
      <w:bookmarkStart w:id="210" w:name="_Toc493516105"/>
      <w:bookmarkStart w:id="211" w:name="_Toc25073237"/>
      <w:bookmarkStart w:id="212" w:name="_Toc493516003"/>
      <w:bookmarkStart w:id="213" w:name="_Toc177660926"/>
      <w:bookmarkStart w:id="214" w:name="_Toc493515853"/>
      <w:bookmarkStart w:id="215" w:name="_Toc150512268"/>
      <w:r>
        <w:rPr>
          <w:highlight w:val="none"/>
        </w:rPr>
        <w:t>计量单位</w:t>
      </w:r>
      <w:bookmarkEnd w:id="208"/>
      <w:bookmarkEnd w:id="209"/>
      <w:bookmarkEnd w:id="210"/>
      <w:bookmarkEnd w:id="211"/>
      <w:bookmarkEnd w:id="212"/>
      <w:bookmarkEnd w:id="213"/>
      <w:bookmarkEnd w:id="214"/>
      <w:bookmarkEnd w:id="215"/>
    </w:p>
    <w:p w14:paraId="6B7F4310">
      <w:pPr>
        <w:pStyle w:val="19"/>
        <w:widowControl/>
        <w:ind w:left="0" w:leftChars="0" w:firstLine="480" w:firstLineChars="200"/>
        <w:rPr>
          <w:highlight w:val="none"/>
        </w:rPr>
      </w:pPr>
      <w:r>
        <w:rPr>
          <w:highlight w:val="none"/>
        </w:rPr>
        <w:t>所有计量均采用中华人民共和国法定计量单位。</w:t>
      </w:r>
    </w:p>
    <w:p w14:paraId="1F6CC37B">
      <w:pPr>
        <w:pStyle w:val="3"/>
        <w:widowControl/>
        <w:numPr>
          <w:ilvl w:val="0"/>
          <w:numId w:val="11"/>
        </w:numPr>
        <w:tabs>
          <w:tab w:val="left" w:pos="900"/>
          <w:tab w:val="clear" w:pos="210"/>
        </w:tabs>
        <w:ind w:left="0" w:leftChars="0" w:firstLine="480" w:firstLineChars="200"/>
        <w:rPr>
          <w:b/>
          <w:highlight w:val="none"/>
        </w:rPr>
      </w:pPr>
      <w:bookmarkStart w:id="216" w:name="_Toc493516106"/>
      <w:bookmarkStart w:id="217" w:name="_Toc320794049"/>
      <w:bookmarkStart w:id="218" w:name="_Toc321514985"/>
      <w:bookmarkStart w:id="219" w:name="_Toc152045539"/>
      <w:bookmarkStart w:id="220" w:name="_Toc493515854"/>
      <w:bookmarkStart w:id="221" w:name="_Toc25073238"/>
      <w:bookmarkStart w:id="222" w:name="_Toc321514541"/>
      <w:bookmarkStart w:id="223" w:name="_Toc493516192"/>
      <w:bookmarkStart w:id="224" w:name="_Toc144974507"/>
      <w:bookmarkStart w:id="225" w:name="_Toc177660927"/>
      <w:bookmarkStart w:id="226" w:name="_Toc321515873"/>
      <w:bookmarkStart w:id="227" w:name="_Toc493516004"/>
      <w:bookmarkStart w:id="228" w:name="_Toc152042315"/>
      <w:bookmarkStart w:id="229" w:name="_Toc534192169"/>
      <w:bookmarkStart w:id="230" w:name="_Toc287906969"/>
      <w:bookmarkStart w:id="231" w:name="_Toc150512269"/>
      <w:r>
        <w:rPr>
          <w:highlight w:val="none"/>
        </w:rPr>
        <w:t>踏勘现场</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4A8DF15">
      <w:pPr>
        <w:pStyle w:val="19"/>
        <w:widowControl/>
        <w:numPr>
          <w:ilvl w:val="0"/>
          <w:numId w:val="18"/>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比选申请人须知前附表规定组织踏勘现场的，比选人按比选申请人须知前附表规定的时间、地点组织比选申请人踏勘项目现场。部分比选申请人未按时参加踏勘现场的，不影响踏勘现场的正常进行。 </w:t>
      </w:r>
    </w:p>
    <w:p w14:paraId="76C4C0CA">
      <w:pPr>
        <w:pStyle w:val="19"/>
        <w:widowControl/>
        <w:numPr>
          <w:ilvl w:val="0"/>
          <w:numId w:val="1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比选申请人踏勘现场发生的费用自理。</w:t>
      </w:r>
    </w:p>
    <w:p w14:paraId="0876D3DB">
      <w:pPr>
        <w:pStyle w:val="19"/>
        <w:widowControl/>
        <w:numPr>
          <w:ilvl w:val="0"/>
          <w:numId w:val="18"/>
        </w:numPr>
        <w:tabs>
          <w:tab w:val="left" w:pos="1080"/>
          <w:tab w:val="clear" w:pos="210"/>
        </w:tabs>
        <w:ind w:left="0" w:leftChars="0" w:firstLine="480" w:firstLineChars="200"/>
        <w:rPr>
          <w:rFonts w:hint="eastAsia" w:ascii="宋体" w:hAnsi="宋体" w:eastAsia="宋体" w:cs="宋体"/>
          <w:b w:val="0"/>
          <w:highlight w:val="none"/>
        </w:rPr>
      </w:pPr>
      <w:r>
        <w:rPr>
          <w:highlight w:val="none"/>
        </w:rPr>
        <w:t>除比选人的原因外，比选申请人自行负责在踏勘现场中所发生的人员伤亡和财产损失。</w:t>
      </w:r>
    </w:p>
    <w:p w14:paraId="3D18FDBB">
      <w:pPr>
        <w:pStyle w:val="19"/>
        <w:widowControl/>
        <w:numPr>
          <w:ilvl w:val="0"/>
          <w:numId w:val="1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比选人在踏勘现场中介绍的场地和相关的周边环境情况，供比选申请人在编制比选申请文件时参考，比选人不对比选申请人据此作出的判断和决策负责。</w:t>
      </w:r>
    </w:p>
    <w:p w14:paraId="0A94E987">
      <w:pPr>
        <w:pStyle w:val="3"/>
        <w:widowControl/>
        <w:numPr>
          <w:ilvl w:val="0"/>
          <w:numId w:val="11"/>
        </w:numPr>
        <w:tabs>
          <w:tab w:val="left" w:pos="900"/>
          <w:tab w:val="clear" w:pos="210"/>
        </w:tabs>
        <w:ind w:left="0" w:leftChars="0" w:firstLine="480" w:firstLineChars="200"/>
        <w:rPr>
          <w:b/>
          <w:highlight w:val="none"/>
        </w:rPr>
      </w:pPr>
      <w:bookmarkStart w:id="232" w:name="_Toc493516005"/>
      <w:bookmarkStart w:id="233" w:name="_Toc152042316"/>
      <w:bookmarkStart w:id="234" w:name="_Toc493515855"/>
      <w:bookmarkStart w:id="235" w:name="_Toc493516193"/>
      <w:bookmarkStart w:id="236" w:name="_Toc152045540"/>
      <w:bookmarkStart w:id="237" w:name="_Toc321514986"/>
      <w:bookmarkStart w:id="238" w:name="_Toc321515874"/>
      <w:bookmarkStart w:id="239" w:name="_Toc287906970"/>
      <w:bookmarkStart w:id="240" w:name="_Toc150512270"/>
      <w:bookmarkStart w:id="241" w:name="_Toc320794050"/>
      <w:bookmarkStart w:id="242" w:name="_Toc25073239"/>
      <w:bookmarkStart w:id="243" w:name="_Toc534192170"/>
      <w:bookmarkStart w:id="244" w:name="_Toc321514542"/>
      <w:bookmarkStart w:id="245" w:name="_Toc493516107"/>
      <w:bookmarkStart w:id="246" w:name="_Toc177660928"/>
      <w:bookmarkStart w:id="247" w:name="_Toc144974508"/>
      <w:r>
        <w:rPr>
          <w:highlight w:val="none"/>
        </w:rPr>
        <w:t>比选预备会</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01D54F3A">
      <w:pPr>
        <w:pStyle w:val="19"/>
        <w:widowControl/>
        <w:numPr>
          <w:ilvl w:val="0"/>
          <w:numId w:val="19"/>
        </w:numPr>
        <w:tabs>
          <w:tab w:val="left" w:pos="1200"/>
          <w:tab w:val="clear" w:pos="210"/>
        </w:tabs>
        <w:ind w:left="0" w:leftChars="0" w:firstLine="480" w:firstLineChars="200"/>
        <w:rPr>
          <w:b w:val="0"/>
          <w:highlight w:val="none"/>
        </w:rPr>
      </w:pPr>
      <w:r>
        <w:rPr>
          <w:highlight w:val="none"/>
        </w:rPr>
        <w:t>比选申请人须知前附表规定召开比选预备会的，比选人按比选申请人须知前附表规定的时间和地点召开比选预备会，澄清比选申请人提出的问题。</w:t>
      </w:r>
    </w:p>
    <w:p w14:paraId="5B80010F">
      <w:pPr>
        <w:pStyle w:val="19"/>
        <w:widowControl/>
        <w:numPr>
          <w:ilvl w:val="0"/>
          <w:numId w:val="19"/>
        </w:numPr>
        <w:tabs>
          <w:tab w:val="left" w:pos="1200"/>
          <w:tab w:val="clear" w:pos="210"/>
        </w:tabs>
        <w:ind w:left="0" w:leftChars="0" w:firstLine="480" w:firstLineChars="200"/>
        <w:rPr>
          <w:b w:val="0"/>
          <w:highlight w:val="none"/>
        </w:rPr>
      </w:pPr>
      <w:r>
        <w:rPr>
          <w:highlight w:val="none"/>
        </w:rPr>
        <w:t>比选申请人应在比选申请人须知前附表规定的时间前，以书面形式将提出的问题送达比选人，以便比选人在会议期间澄清。</w:t>
      </w:r>
    </w:p>
    <w:p w14:paraId="5A0DE864">
      <w:pPr>
        <w:pStyle w:val="19"/>
        <w:widowControl/>
        <w:numPr>
          <w:ilvl w:val="0"/>
          <w:numId w:val="19"/>
        </w:numPr>
        <w:tabs>
          <w:tab w:val="left" w:pos="1200"/>
          <w:tab w:val="clear" w:pos="210"/>
        </w:tabs>
        <w:ind w:left="0" w:leftChars="0" w:firstLine="480" w:firstLineChars="200"/>
        <w:rPr>
          <w:b w:val="0"/>
          <w:highlight w:val="none"/>
        </w:rPr>
      </w:pPr>
      <w:r>
        <w:rPr>
          <w:highlight w:val="none"/>
        </w:rPr>
        <w:t>比选预备会后，比选人在比选申请人须知前附表规定的时间内，将对比选申请人所提问题的澄清，以书面方式通知所有购买比选文件的比选申请人。该澄清内容为比选文件的组成部分。</w:t>
      </w:r>
    </w:p>
    <w:p w14:paraId="720FE09E">
      <w:pPr>
        <w:pStyle w:val="3"/>
        <w:widowControl/>
        <w:numPr>
          <w:ilvl w:val="0"/>
          <w:numId w:val="11"/>
        </w:numPr>
        <w:tabs>
          <w:tab w:val="left" w:pos="900"/>
          <w:tab w:val="clear" w:pos="210"/>
        </w:tabs>
        <w:ind w:left="0" w:leftChars="0" w:firstLine="480" w:firstLineChars="200"/>
        <w:rPr>
          <w:b/>
          <w:highlight w:val="none"/>
        </w:rPr>
      </w:pPr>
      <w:bookmarkStart w:id="248" w:name="_Toc493516194"/>
      <w:bookmarkStart w:id="249" w:name="_Toc321514987"/>
      <w:bookmarkStart w:id="250" w:name="_Toc493516006"/>
      <w:bookmarkStart w:id="251" w:name="_Toc150512271"/>
      <w:bookmarkStart w:id="252" w:name="_Toc152045541"/>
      <w:bookmarkStart w:id="253" w:name="_Toc493516108"/>
      <w:bookmarkStart w:id="254" w:name="_Toc321514543"/>
      <w:bookmarkStart w:id="255" w:name="_Toc321515875"/>
      <w:bookmarkStart w:id="256" w:name="_Toc144974509"/>
      <w:bookmarkStart w:id="257" w:name="_Toc320794051"/>
      <w:bookmarkStart w:id="258" w:name="_Toc152042317"/>
      <w:bookmarkStart w:id="259" w:name="_Toc534192171"/>
      <w:bookmarkStart w:id="260" w:name="_Toc287906971"/>
      <w:bookmarkStart w:id="261" w:name="_Toc177660929"/>
      <w:bookmarkStart w:id="262" w:name="_Toc25073240"/>
      <w:bookmarkStart w:id="263" w:name="_Toc493515856"/>
      <w:r>
        <w:rPr>
          <w:highlight w:val="none"/>
        </w:rPr>
        <w:t>分包</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86ED120">
      <w:pPr>
        <w:pStyle w:val="19"/>
        <w:widowControl/>
        <w:numPr>
          <w:ilvl w:val="0"/>
          <w:numId w:val="20"/>
        </w:numPr>
        <w:tabs>
          <w:tab w:val="left" w:pos="1200"/>
          <w:tab w:val="clear" w:pos="210"/>
        </w:tabs>
        <w:ind w:left="0" w:leftChars="0" w:firstLine="480" w:firstLineChars="200"/>
        <w:rPr>
          <w:rFonts w:hint="eastAsia" w:ascii="宋体" w:hAnsi="宋体" w:eastAsia="宋体" w:cs="宋体"/>
          <w:b w:val="0"/>
          <w:highlight w:val="none"/>
        </w:rPr>
      </w:pPr>
      <w:r>
        <w:rPr>
          <w:highlight w:val="none"/>
        </w:rPr>
        <w:t>比选申请人拟在中选后将中选项目的非主体、非关键性服务工作进行分包的，应符合比选申请人须知前附表规定的分包内容、分包金额和资质要求等限制性条件，除比选申请人须知前附表规定的非主体、非关键性服务工作外，其他工作不得分包。</w:t>
      </w:r>
    </w:p>
    <w:p w14:paraId="4183C5BC">
      <w:pPr>
        <w:pStyle w:val="19"/>
        <w:widowControl/>
        <w:numPr>
          <w:ilvl w:val="0"/>
          <w:numId w:val="20"/>
        </w:numPr>
        <w:tabs>
          <w:tab w:val="left" w:pos="1200"/>
          <w:tab w:val="clear" w:pos="210"/>
        </w:tabs>
        <w:ind w:left="0" w:leftChars="0" w:firstLine="480" w:firstLineChars="200"/>
        <w:rPr>
          <w:rFonts w:hint="eastAsia" w:ascii="宋体" w:hAnsi="宋体" w:eastAsia="宋体" w:cs="宋体"/>
          <w:b w:val="0"/>
          <w:highlight w:val="none"/>
        </w:rPr>
      </w:pPr>
      <w:r>
        <w:rPr>
          <w:highlight w:val="none"/>
        </w:rPr>
        <w:t>中选人不得向他人转让中选项目，接受分包的人不得再次分包。中选人应当就分包项目向比选人负责，接受分包的人就分包项目承担连带责任。</w:t>
      </w:r>
    </w:p>
    <w:p w14:paraId="747A1912">
      <w:pPr>
        <w:pStyle w:val="3"/>
        <w:widowControl/>
        <w:numPr>
          <w:ilvl w:val="0"/>
          <w:numId w:val="11"/>
        </w:numPr>
        <w:tabs>
          <w:tab w:val="left" w:pos="900"/>
          <w:tab w:val="clear" w:pos="210"/>
        </w:tabs>
        <w:ind w:left="0" w:leftChars="0" w:firstLine="480" w:firstLineChars="200"/>
        <w:rPr>
          <w:rFonts w:hint="eastAsia" w:ascii="宋体" w:hAnsi="宋体" w:eastAsia="宋体" w:cs="宋体"/>
          <w:b/>
          <w:highlight w:val="none"/>
        </w:rPr>
      </w:pPr>
      <w:bookmarkStart w:id="264" w:name="_Toc177660930"/>
      <w:bookmarkStart w:id="265" w:name="_Toc320794052"/>
      <w:bookmarkStart w:id="266" w:name="_Toc534192172"/>
      <w:bookmarkStart w:id="267" w:name="_Toc321514988"/>
      <w:bookmarkStart w:id="268" w:name="_Toc493516195"/>
      <w:bookmarkStart w:id="269" w:name="_Toc493516109"/>
      <w:bookmarkStart w:id="270" w:name="_Toc493515857"/>
      <w:bookmarkStart w:id="271" w:name="_Toc150512272"/>
      <w:bookmarkStart w:id="272" w:name="_Toc321515876"/>
      <w:bookmarkStart w:id="273" w:name="_Toc287906972"/>
      <w:bookmarkStart w:id="274" w:name="_Toc25073241"/>
      <w:bookmarkStart w:id="275" w:name="_Toc321514544"/>
      <w:bookmarkStart w:id="276" w:name="_Toc493516007"/>
      <w:r>
        <w:rPr>
          <w:highlight w:val="none"/>
        </w:rPr>
        <w:t>响应和偏差</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6A6AAA3E">
      <w:pPr>
        <w:pStyle w:val="19"/>
        <w:widowControl/>
        <w:numPr>
          <w:ilvl w:val="0"/>
          <w:numId w:val="21"/>
        </w:numPr>
        <w:tabs>
          <w:tab w:val="left" w:pos="1200"/>
          <w:tab w:val="clear" w:pos="210"/>
        </w:tabs>
        <w:ind w:left="0" w:leftChars="0" w:firstLine="480" w:firstLineChars="200"/>
        <w:rPr>
          <w:rFonts w:hint="eastAsia" w:ascii="宋体" w:hAnsi="宋体" w:eastAsia="宋体" w:cs="宋体"/>
          <w:b w:val="0"/>
          <w:highlight w:val="none"/>
        </w:rPr>
      </w:pPr>
      <w:r>
        <w:rPr>
          <w:highlight w:val="none"/>
        </w:rPr>
        <w:t>比选申请文件应当对比选文件的实质性要求和条件作出满足性或更有利于比选人的响应，否则，比选申请人的参选将被否决。实质性要求和条件见比选申请人须知前附表。</w:t>
      </w:r>
    </w:p>
    <w:p w14:paraId="2A8320DD">
      <w:pPr>
        <w:pStyle w:val="19"/>
        <w:widowControl/>
        <w:numPr>
          <w:ilvl w:val="0"/>
          <w:numId w:val="21"/>
        </w:numPr>
        <w:tabs>
          <w:tab w:val="left" w:pos="1200"/>
          <w:tab w:val="clear" w:pos="210"/>
        </w:tabs>
        <w:ind w:left="0" w:leftChars="0" w:firstLine="480" w:firstLineChars="200"/>
        <w:rPr>
          <w:rFonts w:hint="eastAsia" w:ascii="宋体" w:hAnsi="宋体" w:eastAsia="宋体" w:cs="宋体"/>
          <w:b w:val="0"/>
          <w:highlight w:val="none"/>
        </w:rPr>
      </w:pPr>
      <w:r>
        <w:rPr>
          <w:highlight w:val="none"/>
        </w:rPr>
        <w:t>比选申请人应根据比选文件的要求提供项目实施方案等内容以对比选文件作出响应。</w:t>
      </w:r>
    </w:p>
    <w:p w14:paraId="403F11BF">
      <w:pPr>
        <w:pStyle w:val="19"/>
        <w:widowControl/>
        <w:numPr>
          <w:ilvl w:val="0"/>
          <w:numId w:val="21"/>
        </w:numPr>
        <w:tabs>
          <w:tab w:val="left" w:pos="1200"/>
          <w:tab w:val="clear" w:pos="210"/>
        </w:tabs>
        <w:ind w:left="0" w:leftChars="0" w:firstLine="480" w:firstLineChars="200"/>
        <w:rPr>
          <w:rFonts w:hint="eastAsia" w:ascii="宋体" w:hAnsi="宋体" w:eastAsia="宋体" w:cs="宋体"/>
          <w:b w:val="0"/>
          <w:highlight w:val="none"/>
        </w:rPr>
      </w:pPr>
      <w:r>
        <w:rPr>
          <w:highlight w:val="none"/>
        </w:rPr>
        <w:t>比选申请人须知前附表允许比选申请文件偏离比选文件某些要求的，偏差应当符合比选文件规定的偏差范围和幅度。</w:t>
      </w:r>
    </w:p>
    <w:p w14:paraId="711BC9F0">
      <w:pPr>
        <w:pStyle w:val="2"/>
        <w:widowControl/>
        <w:numPr>
          <w:ilvl w:val="0"/>
          <w:numId w:val="10"/>
        </w:numPr>
        <w:tabs>
          <w:tab w:val="left" w:pos="860"/>
          <w:tab w:val="clear" w:pos="210"/>
        </w:tabs>
        <w:ind w:left="0" w:leftChars="0" w:firstLine="480" w:firstLineChars="200"/>
        <w:rPr>
          <w:b/>
          <w:highlight w:val="none"/>
        </w:rPr>
      </w:pPr>
      <w:bookmarkStart w:id="277" w:name="_Toc177660931"/>
      <w:bookmarkStart w:id="278" w:name="_Toc150512273"/>
      <w:r>
        <w:rPr>
          <w:highlight w:val="none"/>
        </w:rPr>
        <w:t>比选文件</w:t>
      </w:r>
      <w:bookmarkEnd w:id="277"/>
      <w:bookmarkEnd w:id="278"/>
    </w:p>
    <w:p w14:paraId="372621AF">
      <w:pPr>
        <w:pStyle w:val="3"/>
        <w:widowControl/>
        <w:numPr>
          <w:ilvl w:val="0"/>
          <w:numId w:val="22"/>
        </w:numPr>
        <w:tabs>
          <w:tab w:val="left" w:pos="900"/>
          <w:tab w:val="clear" w:pos="210"/>
        </w:tabs>
        <w:ind w:left="0" w:leftChars="0" w:firstLine="480" w:firstLineChars="200"/>
        <w:rPr>
          <w:b/>
          <w:highlight w:val="none"/>
        </w:rPr>
      </w:pPr>
      <w:bookmarkStart w:id="279" w:name="_Toc287906974"/>
      <w:bookmarkStart w:id="280" w:name="_Toc152042319"/>
      <w:bookmarkStart w:id="281" w:name="_Toc493515859"/>
      <w:bookmarkStart w:id="282" w:name="_Toc534192174"/>
      <w:bookmarkStart w:id="283" w:name="_Toc150512274"/>
      <w:bookmarkStart w:id="284" w:name="_Toc177660932"/>
      <w:bookmarkStart w:id="285" w:name="_Toc321515878"/>
      <w:bookmarkStart w:id="286" w:name="_Toc320794054"/>
      <w:bookmarkStart w:id="287" w:name="_Toc321514546"/>
      <w:bookmarkStart w:id="288" w:name="_Toc321514990"/>
      <w:bookmarkStart w:id="289" w:name="_Toc25073243"/>
      <w:bookmarkStart w:id="290" w:name="_Toc152045543"/>
      <w:bookmarkStart w:id="291" w:name="_Toc144974511"/>
      <w:bookmarkStart w:id="292" w:name="_Toc493516111"/>
      <w:bookmarkStart w:id="293" w:name="_Toc493516197"/>
      <w:bookmarkStart w:id="294" w:name="_Toc493516009"/>
      <w:r>
        <w:rPr>
          <w:highlight w:val="none"/>
        </w:rPr>
        <w:t>比选文件的组成</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A1BBBC6">
      <w:pPr>
        <w:pStyle w:val="19"/>
        <w:widowControl/>
        <w:ind w:left="0" w:leftChars="0" w:firstLine="480" w:firstLineChars="200"/>
        <w:rPr>
          <w:highlight w:val="none"/>
        </w:rPr>
      </w:pPr>
      <w:r>
        <w:rPr>
          <w:highlight w:val="none"/>
        </w:rPr>
        <w:t>本比选文件包括：</w:t>
      </w:r>
    </w:p>
    <w:p w14:paraId="4A26BA48">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比选公告；</w:t>
      </w:r>
    </w:p>
    <w:p w14:paraId="5B166DB8">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比选申请人须知；</w:t>
      </w:r>
    </w:p>
    <w:p w14:paraId="0C3E8CC6">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评审办法；</w:t>
      </w:r>
    </w:p>
    <w:p w14:paraId="7884156D">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合同条款及格式；</w:t>
      </w:r>
    </w:p>
    <w:p w14:paraId="2064F06F">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 xml:space="preserve">比选人要求； </w:t>
      </w:r>
    </w:p>
    <w:p w14:paraId="449856FC">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比选申请文件格式；</w:t>
      </w:r>
    </w:p>
    <w:p w14:paraId="10AFD73B">
      <w:pPr>
        <w:pStyle w:val="19"/>
        <w:widowControl/>
        <w:numPr>
          <w:ilvl w:val="0"/>
          <w:numId w:val="23"/>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比选申请人须知前附表规定的其他材料。</w:t>
      </w:r>
    </w:p>
    <w:p w14:paraId="38D97A6E">
      <w:pPr>
        <w:pStyle w:val="19"/>
        <w:widowControl/>
        <w:ind w:left="0" w:leftChars="0" w:firstLine="480" w:firstLineChars="200"/>
        <w:rPr>
          <w:highlight w:val="none"/>
        </w:rPr>
      </w:pPr>
      <w:r>
        <w:rPr>
          <w:highlight w:val="none"/>
        </w:rPr>
        <w:t>根据本章第1.10款、第2.2款和第2.3款对比选文件所作的澄清、修改，构成比选文件的组成部分。</w:t>
      </w:r>
    </w:p>
    <w:p w14:paraId="461E0E32">
      <w:pPr>
        <w:pStyle w:val="3"/>
        <w:widowControl/>
        <w:numPr>
          <w:ilvl w:val="0"/>
          <w:numId w:val="22"/>
        </w:numPr>
        <w:tabs>
          <w:tab w:val="left" w:pos="900"/>
          <w:tab w:val="clear" w:pos="210"/>
        </w:tabs>
        <w:ind w:left="0" w:leftChars="0" w:firstLine="480" w:firstLineChars="200"/>
        <w:rPr>
          <w:b/>
          <w:highlight w:val="none"/>
        </w:rPr>
      </w:pPr>
      <w:bookmarkStart w:id="295" w:name="_Toc321515879"/>
      <w:bookmarkStart w:id="296" w:name="_Toc152045544"/>
      <w:bookmarkStart w:id="297" w:name="_Toc321514991"/>
      <w:bookmarkStart w:id="298" w:name="_Toc534192175"/>
      <w:bookmarkStart w:id="299" w:name="_Toc150512275"/>
      <w:bookmarkStart w:id="300" w:name="_Toc152042320"/>
      <w:bookmarkStart w:id="301" w:name="_Toc287906975"/>
      <w:bookmarkStart w:id="302" w:name="_Toc493516198"/>
      <w:bookmarkStart w:id="303" w:name="_Toc321514547"/>
      <w:bookmarkStart w:id="304" w:name="_Toc320794055"/>
      <w:bookmarkStart w:id="305" w:name="_Toc177660933"/>
      <w:bookmarkStart w:id="306" w:name="_Toc25073244"/>
      <w:bookmarkStart w:id="307" w:name="_Toc493516010"/>
      <w:bookmarkStart w:id="308" w:name="_Toc144974512"/>
      <w:bookmarkStart w:id="309" w:name="_Toc493516112"/>
      <w:bookmarkStart w:id="310" w:name="_Toc493515860"/>
      <w:r>
        <w:rPr>
          <w:highlight w:val="none"/>
        </w:rPr>
        <w:t>比选文件的澄清</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FF18CBB">
      <w:pPr>
        <w:pStyle w:val="19"/>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应仔细阅读和检查比选文件的全部内容。如发现缺页或附件不全，应及时向比选人提出，以便补齐。如有疑问，应在比选申请人须知前附表规定的时间前以书面形式（包括信函、电报、传真等可以有形地表现所载内容的形式，下同），要求比选人对比选文件予以澄清。</w:t>
      </w:r>
    </w:p>
    <w:p w14:paraId="42980C8A">
      <w:pPr>
        <w:pStyle w:val="19"/>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比选文件的澄清以比选申请人须知前附表规定的形式发给所有购买比选文件的比选申请人，但不指明澄清问题的来源。澄清发出的时间距本章第 4.2.1 项规定的比选申请截止时间不足3 日的，并且澄清内容可能影响比选申请文件编制的，将相应延长比选申请截止时间。</w:t>
      </w:r>
    </w:p>
    <w:p w14:paraId="3923A6B1">
      <w:pPr>
        <w:pStyle w:val="19"/>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比选申请人在收到澄清后，应按比选申请人须知前附表规定的时间和形式通知比选人，确认已收到该澄清。</w:t>
      </w:r>
    </w:p>
    <w:p w14:paraId="4DEFFB53">
      <w:pPr>
        <w:pStyle w:val="19"/>
        <w:widowControl/>
        <w:numPr>
          <w:ilvl w:val="0"/>
          <w:numId w:val="24"/>
        </w:numPr>
        <w:tabs>
          <w:tab w:val="left" w:pos="1080"/>
          <w:tab w:val="clear" w:pos="210"/>
        </w:tabs>
        <w:ind w:left="0" w:leftChars="0" w:firstLine="480" w:firstLineChars="200"/>
        <w:rPr>
          <w:rFonts w:hint="eastAsia" w:ascii="宋体" w:hAnsi="宋体" w:eastAsia="宋体" w:cs="宋体"/>
          <w:b w:val="0"/>
          <w:highlight w:val="none"/>
        </w:rPr>
      </w:pPr>
      <w:r>
        <w:rPr>
          <w:highlight w:val="none"/>
        </w:rPr>
        <w:t>除非比选人认为确有必要答复，否则，比选人有权拒绝回复比选申请人在本章第 2.2.1 项规定的时间后的任何澄清要求。</w:t>
      </w:r>
    </w:p>
    <w:p w14:paraId="0B577B33">
      <w:pPr>
        <w:pStyle w:val="3"/>
        <w:widowControl/>
        <w:numPr>
          <w:ilvl w:val="0"/>
          <w:numId w:val="22"/>
        </w:numPr>
        <w:tabs>
          <w:tab w:val="left" w:pos="900"/>
          <w:tab w:val="clear" w:pos="210"/>
        </w:tabs>
        <w:ind w:left="0" w:leftChars="0" w:firstLine="480" w:firstLineChars="200"/>
        <w:rPr>
          <w:b/>
          <w:highlight w:val="none"/>
        </w:rPr>
      </w:pPr>
      <w:bookmarkStart w:id="311" w:name="_Toc144974513"/>
      <w:bookmarkStart w:id="312" w:name="_Toc493516113"/>
      <w:bookmarkStart w:id="313" w:name="_Toc287906976"/>
      <w:bookmarkStart w:id="314" w:name="_Toc321514992"/>
      <w:bookmarkStart w:id="315" w:name="_Toc321514548"/>
      <w:bookmarkStart w:id="316" w:name="_Toc320794056"/>
      <w:bookmarkStart w:id="317" w:name="_Toc177660934"/>
      <w:bookmarkStart w:id="318" w:name="_Toc152045545"/>
      <w:bookmarkStart w:id="319" w:name="_Toc493516011"/>
      <w:bookmarkStart w:id="320" w:name="_Toc534192176"/>
      <w:bookmarkStart w:id="321" w:name="_Toc152042321"/>
      <w:bookmarkStart w:id="322" w:name="_Toc25073245"/>
      <w:bookmarkStart w:id="323" w:name="_Toc493515861"/>
      <w:bookmarkStart w:id="324" w:name="_Toc321515880"/>
      <w:bookmarkStart w:id="325" w:name="_Toc493516199"/>
      <w:bookmarkStart w:id="326" w:name="_Toc150512276"/>
      <w:r>
        <w:rPr>
          <w:highlight w:val="none"/>
        </w:rPr>
        <w:t>比选文件的修改</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6B62E298">
      <w:pPr>
        <w:pStyle w:val="19"/>
        <w:widowControl/>
        <w:numPr>
          <w:ilvl w:val="0"/>
          <w:numId w:val="25"/>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比选人以比选申请人须知前附表规定的形式修改比选文件，并通知所有已购买比选文件的比选申请人。修改比选文件的时间距本章第 4.2.1 项规定的比选申请截止时间不足 2日的，并且修改内容可能影响比选申请文件编制的，将相应延长比选申请截止时间。 </w:t>
      </w:r>
    </w:p>
    <w:p w14:paraId="50D156F3">
      <w:pPr>
        <w:pStyle w:val="19"/>
        <w:widowControl/>
        <w:numPr>
          <w:ilvl w:val="0"/>
          <w:numId w:val="25"/>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比选申请人收到修改内容后，应按比选申请人须知前附表规定的时间和形式通知比选人，确认已收到该修改。</w:t>
      </w:r>
    </w:p>
    <w:p w14:paraId="680A6D69">
      <w:pPr>
        <w:pStyle w:val="3"/>
        <w:widowControl/>
        <w:numPr>
          <w:ilvl w:val="0"/>
          <w:numId w:val="22"/>
        </w:numPr>
        <w:tabs>
          <w:tab w:val="left" w:pos="900"/>
          <w:tab w:val="clear" w:pos="210"/>
        </w:tabs>
        <w:ind w:left="0" w:leftChars="0" w:firstLine="480" w:firstLineChars="200"/>
        <w:rPr>
          <w:rFonts w:hint="eastAsia" w:ascii="宋体" w:hAnsi="宋体" w:eastAsia="宋体" w:cs="宋体"/>
          <w:b/>
          <w:highlight w:val="none"/>
        </w:rPr>
      </w:pPr>
      <w:bookmarkStart w:id="327" w:name="_Toc150512277"/>
      <w:bookmarkStart w:id="328" w:name="_Toc493516114"/>
      <w:bookmarkStart w:id="329" w:name="_Toc177660935"/>
      <w:bookmarkStart w:id="330" w:name="_Toc493516012"/>
      <w:bookmarkStart w:id="331" w:name="_Toc534192177"/>
      <w:bookmarkStart w:id="332" w:name="_Toc493516200"/>
      <w:bookmarkStart w:id="333" w:name="_Toc493515862"/>
      <w:bookmarkStart w:id="334" w:name="_Toc25073246"/>
      <w:r>
        <w:rPr>
          <w:highlight w:val="none"/>
        </w:rPr>
        <w:t>比选文件的异议</w:t>
      </w:r>
      <w:bookmarkEnd w:id="327"/>
      <w:bookmarkEnd w:id="328"/>
      <w:bookmarkEnd w:id="329"/>
      <w:bookmarkEnd w:id="330"/>
      <w:bookmarkEnd w:id="331"/>
      <w:bookmarkEnd w:id="332"/>
      <w:bookmarkEnd w:id="333"/>
      <w:bookmarkEnd w:id="334"/>
    </w:p>
    <w:p w14:paraId="4BF129A8">
      <w:pPr>
        <w:pStyle w:val="19"/>
        <w:ind w:left="0" w:leftChars="0" w:firstLine="480" w:firstLineChars="200"/>
        <w:rPr>
          <w:highlight w:val="none"/>
        </w:rPr>
      </w:pPr>
      <w:bookmarkStart w:id="335" w:name="_Toc177660936"/>
      <w:bookmarkStart w:id="336" w:name="_Toc493516115"/>
      <w:bookmarkStart w:id="337" w:name="_Toc493516013"/>
      <w:bookmarkStart w:id="338" w:name="_Toc150512278"/>
      <w:bookmarkStart w:id="339" w:name="_Toc25073247"/>
      <w:bookmarkStart w:id="340" w:name="_Toc493516201"/>
      <w:bookmarkStart w:id="341" w:name="_Toc493515863"/>
      <w:bookmarkStart w:id="342" w:name="_Toc534192178"/>
      <w:r>
        <w:rPr>
          <w:highlight w:val="none"/>
        </w:rPr>
        <w:t>比选申请人或者其他利害关系人对比选文件有异议的，应当在比选申请截止时间3日前以书面形式提出。比选人将在收到异议之日起 2 日内作出答复；作出答复前，将暂停比选活动。</w:t>
      </w:r>
      <w:bookmarkEnd w:id="335"/>
      <w:bookmarkEnd w:id="336"/>
      <w:bookmarkEnd w:id="337"/>
      <w:bookmarkEnd w:id="338"/>
      <w:bookmarkEnd w:id="339"/>
      <w:bookmarkEnd w:id="340"/>
      <w:bookmarkEnd w:id="341"/>
      <w:bookmarkEnd w:id="342"/>
    </w:p>
    <w:p w14:paraId="3B3DB6C0">
      <w:pPr>
        <w:pStyle w:val="2"/>
        <w:widowControl/>
        <w:numPr>
          <w:ilvl w:val="0"/>
          <w:numId w:val="10"/>
        </w:numPr>
        <w:tabs>
          <w:tab w:val="left" w:pos="860"/>
          <w:tab w:val="clear" w:pos="210"/>
        </w:tabs>
        <w:ind w:left="0" w:leftChars="0" w:firstLine="480" w:firstLineChars="200"/>
        <w:rPr>
          <w:b/>
          <w:highlight w:val="none"/>
        </w:rPr>
      </w:pPr>
      <w:bookmarkStart w:id="343" w:name="_Toc177660937"/>
      <w:bookmarkStart w:id="344" w:name="_Toc150512279"/>
      <w:r>
        <w:rPr>
          <w:highlight w:val="none"/>
        </w:rPr>
        <w:t>比选申请文件</w:t>
      </w:r>
      <w:bookmarkEnd w:id="343"/>
      <w:bookmarkEnd w:id="344"/>
    </w:p>
    <w:p w14:paraId="4CC686B0">
      <w:pPr>
        <w:pStyle w:val="3"/>
        <w:widowControl/>
        <w:tabs>
          <w:tab w:val="left" w:pos="0"/>
        </w:tabs>
        <w:ind w:left="0" w:leftChars="0" w:firstLine="0" w:firstLineChars="0"/>
        <w:rPr>
          <w:highlight w:val="none"/>
        </w:rPr>
      </w:pPr>
      <w:bookmarkStart w:id="345" w:name="_Toc320794058"/>
      <w:bookmarkStart w:id="346" w:name="_Toc493515865"/>
      <w:bookmarkStart w:id="347" w:name="_Toc321515882"/>
      <w:bookmarkStart w:id="348" w:name="_Toc321514994"/>
      <w:bookmarkStart w:id="349" w:name="_Toc150512280"/>
      <w:bookmarkStart w:id="350" w:name="_Toc177660938"/>
      <w:bookmarkStart w:id="351" w:name="_Toc534192180"/>
      <w:bookmarkStart w:id="352" w:name="_Toc493516117"/>
      <w:bookmarkStart w:id="353" w:name="_Toc287906978"/>
      <w:bookmarkStart w:id="354" w:name="_Toc25073249"/>
      <w:bookmarkStart w:id="355" w:name="_Toc144974515"/>
      <w:bookmarkStart w:id="356" w:name="_Toc152045547"/>
      <w:bookmarkStart w:id="357" w:name="_Toc493516015"/>
      <w:bookmarkStart w:id="358" w:name="_Toc493516203"/>
      <w:bookmarkStart w:id="359" w:name="_Toc321514550"/>
      <w:bookmarkStart w:id="360" w:name="_Toc152042323"/>
      <w:r>
        <w:rPr>
          <w:highlight w:val="none"/>
        </w:rPr>
        <w:t>3.1 比选申请文件的组成</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1C3C2F3A">
      <w:pPr>
        <w:pStyle w:val="19"/>
        <w:widowControl/>
        <w:numPr>
          <w:ilvl w:val="0"/>
          <w:numId w:val="26"/>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比选申请文件应包括的内容见“第六章 比选申请文件格式”。</w:t>
      </w:r>
    </w:p>
    <w:p w14:paraId="092F6E89">
      <w:pPr>
        <w:pStyle w:val="19"/>
        <w:widowControl/>
        <w:ind w:left="0" w:leftChars="0" w:firstLine="480" w:firstLineChars="200"/>
        <w:rPr>
          <w:highlight w:val="none"/>
        </w:rPr>
      </w:pPr>
      <w:r>
        <w:rPr>
          <w:highlight w:val="none"/>
        </w:rPr>
        <w:t>比选申请人在评审过程中作出的符合法律法规和比选文件规定的澄清确认，构成比选申请文件的组成部分。</w:t>
      </w:r>
    </w:p>
    <w:p w14:paraId="0EDF557E">
      <w:pPr>
        <w:pStyle w:val="19"/>
        <w:widowControl/>
        <w:numPr>
          <w:ilvl w:val="0"/>
          <w:numId w:val="26"/>
        </w:numPr>
        <w:tabs>
          <w:tab w:val="left" w:pos="1080"/>
          <w:tab w:val="clear" w:pos="210"/>
        </w:tabs>
        <w:ind w:left="0" w:leftChars="0" w:firstLine="480" w:firstLineChars="200"/>
        <w:rPr>
          <w:b w:val="0"/>
          <w:highlight w:val="none"/>
        </w:rPr>
      </w:pPr>
      <w:r>
        <w:rPr>
          <w:highlight w:val="none"/>
        </w:rPr>
        <w:t>比选申请人须知前附表规定不接受联合体参选的，或比选申请人没有组成联合体的，比选申请文件不包括联合体协议书。</w:t>
      </w:r>
    </w:p>
    <w:p w14:paraId="3474CB12">
      <w:pPr>
        <w:pStyle w:val="19"/>
        <w:widowControl/>
        <w:numPr>
          <w:ilvl w:val="0"/>
          <w:numId w:val="26"/>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比选申请人须知前附表未要求提交比选保证金的，比选申请文件不包括本章第 3.4条所指的比选保证金。 </w:t>
      </w:r>
    </w:p>
    <w:p w14:paraId="169F77BB">
      <w:pPr>
        <w:pStyle w:val="3"/>
        <w:widowControl/>
        <w:tabs>
          <w:tab w:val="left" w:pos="0"/>
        </w:tabs>
        <w:ind w:left="0" w:leftChars="0" w:firstLine="0" w:firstLineChars="0"/>
        <w:rPr>
          <w:highlight w:val="none"/>
        </w:rPr>
      </w:pPr>
      <w:bookmarkStart w:id="361" w:name="_Toc493516016"/>
      <w:bookmarkStart w:id="362" w:name="_Toc177660939"/>
      <w:bookmarkStart w:id="363" w:name="_Toc320794059"/>
      <w:bookmarkStart w:id="364" w:name="_Toc25073250"/>
      <w:bookmarkStart w:id="365" w:name="_Toc144974516"/>
      <w:bookmarkStart w:id="366" w:name="_Toc493516118"/>
      <w:bookmarkStart w:id="367" w:name="_Toc321515883"/>
      <w:bookmarkStart w:id="368" w:name="_Toc152042324"/>
      <w:bookmarkStart w:id="369" w:name="_Toc321514551"/>
      <w:bookmarkStart w:id="370" w:name="_Toc152045548"/>
      <w:bookmarkStart w:id="371" w:name="_Toc534192181"/>
      <w:bookmarkStart w:id="372" w:name="_Toc287906979"/>
      <w:bookmarkStart w:id="373" w:name="_Toc493515866"/>
      <w:bookmarkStart w:id="374" w:name="_Toc321514995"/>
      <w:bookmarkStart w:id="375" w:name="_Toc493516204"/>
      <w:bookmarkStart w:id="376" w:name="_Toc150512281"/>
      <w:r>
        <w:rPr>
          <w:highlight w:val="none"/>
        </w:rPr>
        <w:t>3.2 参选报价</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5C09D8E">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参选报价应包括国家规定的增值税税金，除比选申请人须知前附表另有规定外，增值税税金按一般计税方法计算。</w:t>
      </w:r>
    </w:p>
    <w:p w14:paraId="342F7625">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比选申请人应充分了解该项目的总体情况以及影响参选报价的其他要素。</w:t>
      </w:r>
    </w:p>
    <w:p w14:paraId="0D09A6CD">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比选申请人在比选申请截止时间前修改比选申请函中的参选报价总额，应同时修改比选申请文件“分项报价明细表”中的相应单项报价。此修改须符合本章第 4.3 款的有关要求。</w:t>
      </w:r>
    </w:p>
    <w:p w14:paraId="0430676D">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比选人设有最高限价的，比选申请人的报价不得超过最高限价，最高限价在比选申请人须知前附表中载明。</w:t>
      </w:r>
    </w:p>
    <w:p w14:paraId="4705F257">
      <w:pPr>
        <w:pStyle w:val="19"/>
        <w:widowControl/>
        <w:numPr>
          <w:ilvl w:val="0"/>
          <w:numId w:val="27"/>
        </w:numPr>
        <w:tabs>
          <w:tab w:val="left" w:pos="1080"/>
          <w:tab w:val="clear" w:pos="210"/>
        </w:tabs>
        <w:ind w:left="0" w:leftChars="0" w:firstLine="480" w:firstLineChars="200"/>
        <w:rPr>
          <w:rFonts w:hint="eastAsia" w:ascii="宋体" w:hAnsi="宋体" w:eastAsia="宋体" w:cs="宋体"/>
          <w:b w:val="0"/>
          <w:highlight w:val="none"/>
        </w:rPr>
      </w:pPr>
      <w:r>
        <w:rPr>
          <w:highlight w:val="none"/>
        </w:rPr>
        <w:t>参选报价的其他要求见比选申请人须知前附表。</w:t>
      </w:r>
    </w:p>
    <w:p w14:paraId="753F8C23">
      <w:pPr>
        <w:pStyle w:val="3"/>
        <w:widowControl/>
        <w:tabs>
          <w:tab w:val="left" w:pos="0"/>
        </w:tabs>
        <w:ind w:left="0" w:leftChars="0" w:firstLine="0" w:firstLineChars="0"/>
        <w:rPr>
          <w:highlight w:val="none"/>
        </w:rPr>
      </w:pPr>
      <w:bookmarkStart w:id="377" w:name="_Toc177660940"/>
      <w:bookmarkStart w:id="378" w:name="_Toc144974517"/>
      <w:bookmarkStart w:id="379" w:name="_Toc152042325"/>
      <w:bookmarkStart w:id="380" w:name="_Toc320794060"/>
      <w:bookmarkStart w:id="381" w:name="_Toc534192182"/>
      <w:bookmarkStart w:id="382" w:name="_Toc493516205"/>
      <w:bookmarkStart w:id="383" w:name="_Toc321514552"/>
      <w:bookmarkStart w:id="384" w:name="_Toc25073251"/>
      <w:bookmarkStart w:id="385" w:name="_Toc321514996"/>
      <w:bookmarkStart w:id="386" w:name="_Toc287906980"/>
      <w:bookmarkStart w:id="387" w:name="_Toc321515884"/>
      <w:bookmarkStart w:id="388" w:name="_Toc152045549"/>
      <w:bookmarkStart w:id="389" w:name="_Toc150512282"/>
      <w:bookmarkStart w:id="390" w:name="_Toc493515867"/>
      <w:bookmarkStart w:id="391" w:name="_Toc493516119"/>
      <w:bookmarkStart w:id="392" w:name="_Toc493516017"/>
      <w:r>
        <w:rPr>
          <w:highlight w:val="none"/>
        </w:rPr>
        <w:t>3.3 比选有效期</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C1249C5">
      <w:pPr>
        <w:pStyle w:val="19"/>
        <w:widowControl/>
        <w:numPr>
          <w:ilvl w:val="0"/>
          <w:numId w:val="28"/>
        </w:numPr>
        <w:tabs>
          <w:tab w:val="left" w:pos="1080"/>
          <w:tab w:val="clear" w:pos="210"/>
        </w:tabs>
        <w:ind w:left="0" w:leftChars="0" w:firstLine="480" w:firstLineChars="200"/>
        <w:rPr>
          <w:rFonts w:hint="eastAsia" w:ascii="宋体" w:hAnsi="宋体" w:eastAsia="宋体" w:cs="宋体"/>
          <w:b w:val="0"/>
          <w:highlight w:val="none"/>
        </w:rPr>
      </w:pPr>
      <w:r>
        <w:rPr>
          <w:highlight w:val="none"/>
        </w:rPr>
        <w:t>除比选申请人须知前附表另有规定外，比选有效期为 90 天。</w:t>
      </w:r>
    </w:p>
    <w:p w14:paraId="3665F3A1">
      <w:pPr>
        <w:pStyle w:val="19"/>
        <w:widowControl/>
        <w:numPr>
          <w:ilvl w:val="0"/>
          <w:numId w:val="28"/>
        </w:numPr>
        <w:tabs>
          <w:tab w:val="left" w:pos="1080"/>
          <w:tab w:val="clear" w:pos="210"/>
        </w:tabs>
        <w:ind w:left="0" w:leftChars="0" w:firstLine="480" w:firstLineChars="200"/>
        <w:rPr>
          <w:rFonts w:hint="eastAsia" w:ascii="宋体" w:hAnsi="宋体" w:eastAsia="宋体" w:cs="宋体"/>
          <w:b w:val="0"/>
          <w:highlight w:val="none"/>
        </w:rPr>
      </w:pPr>
      <w:r>
        <w:rPr>
          <w:highlight w:val="none"/>
        </w:rPr>
        <w:t>在比选有效期内，比选申请人撤销比选申请文件的，应承担比选文件和法律规定的责任。</w:t>
      </w:r>
    </w:p>
    <w:p w14:paraId="4FFFDA2E">
      <w:pPr>
        <w:pStyle w:val="19"/>
        <w:widowControl/>
        <w:numPr>
          <w:ilvl w:val="0"/>
          <w:numId w:val="28"/>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出现特殊情况需要延长比选有效期的，比选人以书面形式通知所有比选申请人延长比选有效期。比选申请人应予以书面答复，同意延长的，应相应延长其比选保证金的有效期，但不得要求或被允许修改其比选申请文件；比选申请人拒绝延长的，其比选失效，但比选申请人有权收回其比选保证金及以现金或者支票形式递交的比选保证金的银行同期存款利息。 </w:t>
      </w:r>
    </w:p>
    <w:p w14:paraId="5A0DBAF3">
      <w:pPr>
        <w:pStyle w:val="3"/>
        <w:widowControl/>
        <w:tabs>
          <w:tab w:val="left" w:pos="0"/>
        </w:tabs>
        <w:ind w:left="0" w:leftChars="0" w:firstLine="0" w:firstLineChars="0"/>
        <w:rPr>
          <w:highlight w:val="none"/>
        </w:rPr>
      </w:pPr>
      <w:bookmarkStart w:id="393" w:name="_Toc534192183"/>
      <w:bookmarkStart w:id="394" w:name="_Toc321515885"/>
      <w:bookmarkStart w:id="395" w:name="_Toc152042326"/>
      <w:bookmarkStart w:id="396" w:name="_Toc152045550"/>
      <w:bookmarkStart w:id="397" w:name="_Toc321514553"/>
      <w:bookmarkStart w:id="398" w:name="_Toc287906981"/>
      <w:bookmarkStart w:id="399" w:name="_Toc493515868"/>
      <w:bookmarkStart w:id="400" w:name="_Toc320794061"/>
      <w:bookmarkStart w:id="401" w:name="_Toc321514997"/>
      <w:bookmarkStart w:id="402" w:name="_Toc493516120"/>
      <w:bookmarkStart w:id="403" w:name="_Toc493516018"/>
      <w:bookmarkStart w:id="404" w:name="_Toc144974518"/>
      <w:bookmarkStart w:id="405" w:name="_Toc25073252"/>
      <w:bookmarkStart w:id="406" w:name="_Toc493516206"/>
      <w:bookmarkStart w:id="407" w:name="_Toc177660941"/>
      <w:bookmarkStart w:id="408" w:name="_Toc150512283"/>
      <w:r>
        <w:rPr>
          <w:highlight w:val="none"/>
        </w:rPr>
        <w:t xml:space="preserve">3.4 </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highlight w:val="none"/>
        </w:rPr>
        <w:t>比选保证金</w:t>
      </w:r>
      <w:bookmarkEnd w:id="407"/>
      <w:bookmarkEnd w:id="408"/>
    </w:p>
    <w:p w14:paraId="569D1F31">
      <w:pPr>
        <w:pStyle w:val="19"/>
        <w:widowControl/>
        <w:numPr>
          <w:ilvl w:val="0"/>
          <w:numId w:val="2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在递交比选申请文件的同时，应按比选申请人须知前附表规定的金额、形式和第六章“比选申请文件格式”规定的比选保证金格式递交比选保证金，并作为其比选申请文件的组成部分。境内比选申请人以现金或者支票形式提交的比选保证金，应当从其基本账户转出并在比选申请文件中附上基本账户开户证明。联合体参选的，其比选保证金可以由牵头人递交，并应符合比选申请人须知前附表的规定。</w:t>
      </w:r>
    </w:p>
    <w:p w14:paraId="05515CF4">
      <w:pPr>
        <w:pStyle w:val="19"/>
        <w:widowControl/>
        <w:numPr>
          <w:ilvl w:val="0"/>
          <w:numId w:val="2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比选申请人不按本章第 3.4.1 项要求提交比选保证金的，评审委员会将否决其比选。</w:t>
      </w:r>
    </w:p>
    <w:p w14:paraId="734DD01D">
      <w:pPr>
        <w:pStyle w:val="19"/>
        <w:widowControl/>
        <w:numPr>
          <w:ilvl w:val="0"/>
          <w:numId w:val="29"/>
        </w:numPr>
        <w:tabs>
          <w:tab w:val="left" w:pos="1080"/>
          <w:tab w:val="clear" w:pos="210"/>
        </w:tabs>
        <w:ind w:left="0" w:leftChars="0" w:firstLine="480" w:firstLineChars="200"/>
        <w:rPr>
          <w:b w:val="0"/>
          <w:highlight w:val="none"/>
        </w:rPr>
      </w:pPr>
      <w:r>
        <w:rPr>
          <w:highlight w:val="none"/>
        </w:rPr>
        <w:t>比选人与中选人签订合同后5个工作日内，向未中选的比选申请人和中选人退还比选保证金。</w:t>
      </w:r>
    </w:p>
    <w:p w14:paraId="40371A54">
      <w:pPr>
        <w:pStyle w:val="19"/>
        <w:widowControl/>
        <w:numPr>
          <w:ilvl w:val="0"/>
          <w:numId w:val="29"/>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有下列情形之一的，比选保证金将不予退还： </w:t>
      </w:r>
    </w:p>
    <w:p w14:paraId="5F49572E">
      <w:pPr>
        <w:pStyle w:val="19"/>
        <w:widowControl/>
        <w:numPr>
          <w:ilvl w:val="0"/>
          <w:numId w:val="30"/>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比选申请人在比选有效期内撤销比选申请文件；</w:t>
      </w:r>
    </w:p>
    <w:p w14:paraId="10B7643C">
      <w:pPr>
        <w:pStyle w:val="19"/>
        <w:widowControl/>
        <w:numPr>
          <w:ilvl w:val="0"/>
          <w:numId w:val="30"/>
        </w:numPr>
        <w:tabs>
          <w:tab w:val="left" w:pos="1080"/>
        </w:tabs>
        <w:topLinePunct w:val="0"/>
        <w:ind w:left="0" w:leftChars="0" w:firstLine="480" w:firstLineChars="200"/>
        <w:rPr>
          <w:rFonts w:hint="eastAsia" w:ascii="宋体" w:hAnsi="宋体" w:eastAsia="宋体" w:cs="宋体"/>
          <w:b w:val="0"/>
          <w:highlight w:val="none"/>
        </w:rPr>
      </w:pPr>
      <w:r>
        <w:rPr>
          <w:highlight w:val="none"/>
        </w:rPr>
        <w:t>中选人在收到中选通知书后，无正当理由拒签合同协议书或未按比选文件规定提交履约担保。</w:t>
      </w:r>
    </w:p>
    <w:p w14:paraId="396D8590">
      <w:pPr>
        <w:pStyle w:val="19"/>
        <w:widowControl/>
        <w:numPr>
          <w:ilvl w:val="0"/>
          <w:numId w:val="30"/>
        </w:numPr>
        <w:tabs>
          <w:tab w:val="left" w:pos="1080"/>
        </w:tabs>
        <w:topLinePunct w:val="0"/>
        <w:ind w:left="0" w:leftChars="0" w:firstLine="480" w:firstLineChars="200"/>
        <w:rPr>
          <w:rFonts w:hint="eastAsia" w:ascii="宋体" w:hAnsi="宋体" w:eastAsia="宋体" w:cs="宋体"/>
          <w:b w:val="0"/>
          <w:highlight w:val="none"/>
        </w:rPr>
      </w:pPr>
      <w:r>
        <w:rPr>
          <w:highlight w:val="none"/>
        </w:rPr>
        <w:t>发生比选申请人须知前附表规定的其他可以不予退还比选保证金的情形。</w:t>
      </w:r>
    </w:p>
    <w:p w14:paraId="0E0EDF2D">
      <w:pPr>
        <w:pStyle w:val="3"/>
        <w:widowControl/>
        <w:tabs>
          <w:tab w:val="left" w:pos="0"/>
        </w:tabs>
        <w:ind w:left="0" w:leftChars="0" w:firstLine="0" w:firstLineChars="0"/>
        <w:rPr>
          <w:highlight w:val="none"/>
        </w:rPr>
      </w:pPr>
      <w:bookmarkStart w:id="409" w:name="_Toc177660942"/>
      <w:bookmarkStart w:id="410" w:name="_Toc321514554"/>
      <w:bookmarkStart w:id="411" w:name="_Toc534192184"/>
      <w:bookmarkStart w:id="412" w:name="_Toc152045552"/>
      <w:bookmarkStart w:id="413" w:name="_Toc321514998"/>
      <w:bookmarkStart w:id="414" w:name="_Toc25073253"/>
      <w:bookmarkStart w:id="415" w:name="_Toc152042328"/>
      <w:bookmarkStart w:id="416" w:name="_Toc493515869"/>
      <w:bookmarkStart w:id="417" w:name="_Toc493516121"/>
      <w:bookmarkStart w:id="418" w:name="_Toc321515886"/>
      <w:bookmarkStart w:id="419" w:name="_Toc493516207"/>
      <w:bookmarkStart w:id="420" w:name="_Toc287906982"/>
      <w:bookmarkStart w:id="421" w:name="_Toc150512284"/>
      <w:bookmarkStart w:id="422" w:name="_Toc493516019"/>
      <w:bookmarkStart w:id="423" w:name="_Toc144974520"/>
      <w:bookmarkStart w:id="424" w:name="_Toc320794062"/>
      <w:r>
        <w:rPr>
          <w:highlight w:val="none"/>
        </w:rPr>
        <w:t>3.5 资格审查资料</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6249677">
      <w:pPr>
        <w:pStyle w:val="19"/>
        <w:widowControl/>
        <w:ind w:left="0" w:leftChars="0" w:firstLine="480" w:firstLineChars="200"/>
        <w:rPr>
          <w:highlight w:val="none"/>
        </w:rPr>
      </w:pPr>
      <w:r>
        <w:rPr>
          <w:highlight w:val="none"/>
        </w:rPr>
        <w:t>除比选申请人须知前附表另有规定外，比选申请人应按下列规定提供资格审查资料，以证明其满足本章第 1.4 款规定的资格等要求。</w:t>
      </w:r>
    </w:p>
    <w:p w14:paraId="6507506A">
      <w:pPr>
        <w:pStyle w:val="19"/>
        <w:widowControl/>
        <w:numPr>
          <w:ilvl w:val="0"/>
          <w:numId w:val="31"/>
        </w:numPr>
        <w:tabs>
          <w:tab w:val="left" w:pos="1080"/>
          <w:tab w:val="clear" w:pos="210"/>
        </w:tabs>
        <w:ind w:left="0" w:leftChars="0" w:firstLine="480" w:firstLineChars="200"/>
        <w:rPr>
          <w:b w:val="0"/>
          <w:highlight w:val="none"/>
        </w:rPr>
      </w:pPr>
      <w:r>
        <w:rPr>
          <w:highlight w:val="none"/>
        </w:rPr>
        <w:t>“比选申请人基本情况表”应附比选申请人经年检合格的律师事务所执业许可证等材料的复印件。</w:t>
      </w:r>
    </w:p>
    <w:p w14:paraId="62D62DC6">
      <w:pPr>
        <w:pStyle w:val="19"/>
        <w:widowControl/>
        <w:numPr>
          <w:ilvl w:val="0"/>
          <w:numId w:val="31"/>
        </w:numPr>
        <w:tabs>
          <w:tab w:val="left" w:pos="1080"/>
          <w:tab w:val="clear" w:pos="210"/>
        </w:tabs>
        <w:ind w:left="0" w:leftChars="0" w:firstLine="480" w:firstLineChars="200"/>
        <w:rPr>
          <w:b w:val="0"/>
          <w:highlight w:val="none"/>
        </w:rPr>
      </w:pPr>
      <w:r>
        <w:rPr>
          <w:highlight w:val="none"/>
        </w:rPr>
        <w:t>“近年财务状况表”：不提供。</w:t>
      </w:r>
    </w:p>
    <w:p w14:paraId="0D5B24DA">
      <w:pPr>
        <w:pStyle w:val="19"/>
        <w:widowControl/>
        <w:numPr>
          <w:ilvl w:val="0"/>
          <w:numId w:val="31"/>
        </w:numPr>
        <w:tabs>
          <w:tab w:val="left" w:pos="1080"/>
          <w:tab w:val="clear" w:pos="210"/>
        </w:tabs>
        <w:ind w:left="0" w:leftChars="0" w:firstLine="480" w:firstLineChars="200"/>
        <w:rPr>
          <w:b w:val="0"/>
          <w:highlight w:val="none"/>
        </w:rPr>
      </w:pPr>
      <w:r>
        <w:rPr>
          <w:highlight w:val="none"/>
        </w:rPr>
        <w:t>“近年正在实施或新承接或完成的类似项目情况表”应附合同复印件；具体时间要求见比选申请人须知前附表，每张表格只填写一个项目，并标明序号。</w:t>
      </w:r>
    </w:p>
    <w:p w14:paraId="5E7E1C0E">
      <w:pPr>
        <w:pStyle w:val="19"/>
        <w:widowControl/>
        <w:numPr>
          <w:ilvl w:val="0"/>
          <w:numId w:val="31"/>
        </w:numPr>
        <w:tabs>
          <w:tab w:val="left" w:pos="1080"/>
          <w:tab w:val="clear" w:pos="210"/>
        </w:tabs>
        <w:ind w:left="0" w:leftChars="0" w:firstLine="480" w:firstLineChars="200"/>
        <w:rPr>
          <w:b w:val="0"/>
          <w:highlight w:val="none"/>
        </w:rPr>
      </w:pPr>
      <w:r>
        <w:rPr>
          <w:highlight w:val="none"/>
        </w:rPr>
        <w:t>“近年发生的诉讼及仲裁情况”：不提供。</w:t>
      </w:r>
    </w:p>
    <w:p w14:paraId="78BC63DA">
      <w:pPr>
        <w:pStyle w:val="3"/>
        <w:widowControl/>
        <w:numPr>
          <w:ilvl w:val="1"/>
          <w:numId w:val="32"/>
        </w:numPr>
        <w:tabs>
          <w:tab w:val="left" w:pos="480"/>
        </w:tabs>
        <w:ind w:left="0" w:leftChars="0" w:firstLine="480" w:firstLineChars="200"/>
        <w:rPr>
          <w:highlight w:val="none"/>
        </w:rPr>
      </w:pPr>
      <w:r>
        <w:rPr>
          <w:highlight w:val="none"/>
        </w:rPr>
        <w:t>备选参选方案</w:t>
      </w:r>
    </w:p>
    <w:p w14:paraId="3AAB472C">
      <w:pPr>
        <w:pStyle w:val="19"/>
        <w:widowControl/>
        <w:numPr>
          <w:ilvl w:val="0"/>
          <w:numId w:val="33"/>
        </w:numPr>
        <w:tabs>
          <w:tab w:val="left" w:pos="1080"/>
          <w:tab w:val="clear" w:pos="210"/>
        </w:tabs>
        <w:ind w:left="0" w:leftChars="0" w:firstLine="480" w:firstLineChars="200"/>
        <w:rPr>
          <w:rFonts w:hint="eastAsia" w:ascii="宋体" w:hAnsi="宋体" w:eastAsia="宋体" w:cs="宋体"/>
          <w:b w:val="0"/>
          <w:highlight w:val="none"/>
        </w:rPr>
      </w:pPr>
      <w:r>
        <w:rPr>
          <w:highlight w:val="none"/>
        </w:rPr>
        <w:t>除比选申请人须知前附表规定允许外，比选申请人不得递交备选参选方案，否则其参选将被否决。</w:t>
      </w:r>
    </w:p>
    <w:p w14:paraId="0082ADD0">
      <w:pPr>
        <w:pStyle w:val="19"/>
        <w:widowControl/>
        <w:numPr>
          <w:ilvl w:val="0"/>
          <w:numId w:val="33"/>
        </w:numPr>
        <w:tabs>
          <w:tab w:val="left" w:pos="1080"/>
          <w:tab w:val="clear" w:pos="210"/>
        </w:tabs>
        <w:ind w:left="0" w:leftChars="0" w:firstLine="480" w:firstLineChars="200"/>
        <w:rPr>
          <w:rFonts w:hint="eastAsia" w:ascii="宋体" w:hAnsi="宋体" w:eastAsia="宋体" w:cs="宋体"/>
          <w:b w:val="0"/>
          <w:highlight w:val="none"/>
        </w:rPr>
      </w:pPr>
      <w:r>
        <w:rPr>
          <w:highlight w:val="none"/>
        </w:rPr>
        <w:t>允许比选申请人递交备选参选方案的，只有中选人所递交的备选参选方案方可予以考虑。评审委员会认为中选人的备选参选方案优于其按照比选文件要求编制的比选方案的，比选人可以接受该备选参选方案。</w:t>
      </w:r>
    </w:p>
    <w:p w14:paraId="0BE1BDFB">
      <w:pPr>
        <w:pStyle w:val="19"/>
        <w:widowControl/>
        <w:numPr>
          <w:ilvl w:val="0"/>
          <w:numId w:val="33"/>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比选申请人在比选申请文件中提供一个报价，但同时提供两个或两个以上服务方案的，视为提供备选方案。</w:t>
      </w:r>
    </w:p>
    <w:p w14:paraId="74A6E87D">
      <w:pPr>
        <w:pStyle w:val="3"/>
        <w:widowControl/>
        <w:tabs>
          <w:tab w:val="left" w:pos="0"/>
        </w:tabs>
        <w:ind w:left="0" w:leftChars="0" w:firstLine="0" w:firstLineChars="0"/>
        <w:rPr>
          <w:highlight w:val="none"/>
        </w:rPr>
      </w:pPr>
      <w:bookmarkStart w:id="425" w:name="_Toc320794064"/>
      <w:bookmarkStart w:id="426" w:name="_Toc493516209"/>
      <w:bookmarkStart w:id="427" w:name="_Toc493516123"/>
      <w:bookmarkStart w:id="428" w:name="_Toc321514556"/>
      <w:bookmarkStart w:id="429" w:name="_Toc534192186"/>
      <w:bookmarkStart w:id="430" w:name="_Toc493515871"/>
      <w:bookmarkStart w:id="431" w:name="_Toc177660944"/>
      <w:bookmarkStart w:id="432" w:name="_Toc152045554"/>
      <w:bookmarkStart w:id="433" w:name="_Toc152042330"/>
      <w:bookmarkStart w:id="434" w:name="_Toc25073255"/>
      <w:bookmarkStart w:id="435" w:name="_Toc287906984"/>
      <w:bookmarkStart w:id="436" w:name="_Toc150512286"/>
      <w:bookmarkStart w:id="437" w:name="_Toc321515000"/>
      <w:bookmarkStart w:id="438" w:name="_Toc493516021"/>
      <w:bookmarkStart w:id="439" w:name="_Toc144974522"/>
      <w:bookmarkStart w:id="440" w:name="_Toc321515888"/>
      <w:r>
        <w:rPr>
          <w:highlight w:val="none"/>
        </w:rPr>
        <w:t>3.7 比选申请文件的编制</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C7FC1BC">
      <w:pPr>
        <w:pStyle w:val="19"/>
        <w:widowControl/>
        <w:numPr>
          <w:ilvl w:val="0"/>
          <w:numId w:val="3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应按第六章“比选申请文件格式”进行编写，如有必要，可以增加附页，作为比选申请文件的组成部分。其中，比选申请函附录在满足比选文件实质性要求的基础上，可以提出比比选文件要求更有利于比选人的承诺。</w:t>
      </w:r>
    </w:p>
    <w:p w14:paraId="2E97CB20">
      <w:pPr>
        <w:pStyle w:val="19"/>
        <w:widowControl/>
        <w:numPr>
          <w:ilvl w:val="0"/>
          <w:numId w:val="34"/>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比选申请文件应当对比选文件有关服务期限、比选有效期、比选人要求、报价、比选范围等实质性内容作出响应。</w:t>
      </w:r>
    </w:p>
    <w:p w14:paraId="415BCB2A">
      <w:pPr>
        <w:pStyle w:val="19"/>
        <w:widowControl/>
        <w:numPr>
          <w:ilvl w:val="0"/>
          <w:numId w:val="34"/>
        </w:numPr>
        <w:tabs>
          <w:tab w:val="left" w:pos="1080"/>
          <w:tab w:val="clear" w:pos="210"/>
        </w:tabs>
        <w:ind w:left="0" w:leftChars="0" w:firstLine="480" w:firstLineChars="200"/>
        <w:rPr>
          <w:rFonts w:hint="eastAsia" w:ascii="宋体" w:hAnsi="宋体" w:eastAsia="宋体" w:cs="宋体"/>
          <w:b w:val="0"/>
          <w:highlight w:val="none"/>
        </w:rPr>
      </w:pPr>
      <w:r>
        <w:rPr>
          <w:highlight w:val="none"/>
        </w:rPr>
        <w:t xml:space="preserve">（1）比选申请文件应用不褪色的材料书写或打印，比选申请函、比选申请函附录及对比选申请文件的澄清、说明和补正应由比选申请人的法定代表人（或单位负责人）或其授权的代理人签字或盖单位章。由比选申请人的法定代表人（或单位负责人）签字的，应附法定代表人（或单位负责人）身份证明，由代理人签字的，应附授权委托书，身份证明或授权委托书应符合第六章“比选申请文件格式”的要求。比选申请文件应尽量避免涂改、行间插字或删除。如果出现上述情况，改动之处应由比选申请人的法定代表人（或单位负责人）或其授权的代理人签字或盖单位公章。 </w:t>
      </w:r>
    </w:p>
    <w:p w14:paraId="555ABC9E">
      <w:pPr>
        <w:pStyle w:val="19"/>
        <w:widowControl/>
        <w:numPr>
          <w:ilvl w:val="0"/>
          <w:numId w:val="35"/>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正本壹份，副本份数见比选申请人须知前附表。正本和副本的封面右上角上应清楚地标记“正本”或“副本”的字样。比选申请人应根据比选申请人须知前附表要求提供电子版文件。当副本和正本不一致或电子版文件和纸质正本文件不一致时，以纸质正本文件为准。</w:t>
      </w:r>
    </w:p>
    <w:p w14:paraId="0622B0F6">
      <w:pPr>
        <w:pStyle w:val="19"/>
        <w:widowControl/>
        <w:numPr>
          <w:ilvl w:val="0"/>
          <w:numId w:val="35"/>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比选申请文件的正本与副本应分别装订，并编制目录，比选申请文件需分册装订的，具体分册装订要求见比选申请人须知前附表规定。</w:t>
      </w:r>
    </w:p>
    <w:p w14:paraId="45D8E03E">
      <w:pPr>
        <w:pStyle w:val="2"/>
        <w:widowControl/>
        <w:numPr>
          <w:ilvl w:val="0"/>
          <w:numId w:val="10"/>
        </w:numPr>
        <w:tabs>
          <w:tab w:val="left" w:pos="860"/>
          <w:tab w:val="clear" w:pos="210"/>
        </w:tabs>
        <w:ind w:left="0" w:leftChars="0" w:firstLine="480" w:firstLineChars="200"/>
        <w:rPr>
          <w:b/>
          <w:highlight w:val="none"/>
        </w:rPr>
      </w:pPr>
      <w:bookmarkStart w:id="441" w:name="_Toc177660945"/>
      <w:bookmarkStart w:id="442" w:name="_Toc150512287"/>
      <w:r>
        <w:rPr>
          <w:highlight w:val="none"/>
        </w:rPr>
        <w:t>比选</w:t>
      </w:r>
      <w:bookmarkEnd w:id="441"/>
      <w:bookmarkEnd w:id="442"/>
    </w:p>
    <w:p w14:paraId="055D17FA">
      <w:pPr>
        <w:pStyle w:val="3"/>
        <w:widowControl/>
        <w:numPr>
          <w:ilvl w:val="0"/>
          <w:numId w:val="36"/>
        </w:numPr>
        <w:tabs>
          <w:tab w:val="left" w:pos="900"/>
          <w:tab w:val="clear" w:pos="210"/>
        </w:tabs>
        <w:ind w:left="0" w:leftChars="0" w:firstLine="480" w:firstLineChars="200"/>
        <w:rPr>
          <w:b/>
          <w:highlight w:val="none"/>
        </w:rPr>
      </w:pPr>
      <w:bookmarkStart w:id="443" w:name="_Toc152042332"/>
      <w:bookmarkStart w:id="444" w:name="_Toc321515002"/>
      <w:bookmarkStart w:id="445" w:name="_Toc534192188"/>
      <w:bookmarkStart w:id="446" w:name="_Toc152045556"/>
      <w:bookmarkStart w:id="447" w:name="_Toc493515873"/>
      <w:bookmarkStart w:id="448" w:name="_Toc321514558"/>
      <w:bookmarkStart w:id="449" w:name="_Toc493516023"/>
      <w:bookmarkStart w:id="450" w:name="_Toc321515890"/>
      <w:bookmarkStart w:id="451" w:name="_Toc493516125"/>
      <w:bookmarkStart w:id="452" w:name="_Toc287906986"/>
      <w:bookmarkStart w:id="453" w:name="_Toc320794066"/>
      <w:bookmarkStart w:id="454" w:name="_Toc144974524"/>
      <w:bookmarkStart w:id="455" w:name="_Toc25073257"/>
      <w:bookmarkStart w:id="456" w:name="_Toc493516211"/>
      <w:bookmarkStart w:id="457" w:name="_Toc150512288"/>
      <w:bookmarkStart w:id="458" w:name="_Toc177660946"/>
      <w:r>
        <w:rPr>
          <w:highlight w:val="none"/>
        </w:rPr>
        <w:t>比选申请文件的密封和标记</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1EBE9D86">
      <w:pPr>
        <w:pStyle w:val="19"/>
        <w:widowControl/>
        <w:numPr>
          <w:ilvl w:val="0"/>
          <w:numId w:val="3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比选申请文件应密封包装，并在封套的封口处加盖比选申请人单位章或由比选申请人的法定代表人（或单位负责人）或其授权的代理人签字。</w:t>
      </w:r>
    </w:p>
    <w:p w14:paraId="18CC6F58">
      <w:pPr>
        <w:pStyle w:val="19"/>
        <w:widowControl/>
        <w:numPr>
          <w:ilvl w:val="0"/>
          <w:numId w:val="37"/>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比选申请文件封套上应写明的内容见比选申请人须知前附表。</w:t>
      </w:r>
    </w:p>
    <w:p w14:paraId="2EC6D8DD">
      <w:pPr>
        <w:pStyle w:val="19"/>
        <w:widowControl/>
        <w:numPr>
          <w:ilvl w:val="0"/>
          <w:numId w:val="37"/>
        </w:numPr>
        <w:tabs>
          <w:tab w:val="left" w:pos="1080"/>
          <w:tab w:val="clear" w:pos="210"/>
        </w:tabs>
        <w:ind w:left="0" w:leftChars="0" w:firstLine="480" w:firstLineChars="200"/>
        <w:rPr>
          <w:rFonts w:hint="eastAsia" w:ascii="宋体" w:hAnsi="宋体" w:eastAsia="宋体" w:cs="宋体"/>
          <w:b w:val="0"/>
          <w:highlight w:val="none"/>
        </w:rPr>
      </w:pPr>
      <w:r>
        <w:rPr>
          <w:highlight w:val="none"/>
        </w:rPr>
        <w:t>未按本章第 4.1.1 项要求密封的比选申请文件，比选人将予以拒收。</w:t>
      </w:r>
    </w:p>
    <w:p w14:paraId="4A834247">
      <w:pPr>
        <w:pStyle w:val="3"/>
        <w:widowControl/>
        <w:numPr>
          <w:ilvl w:val="0"/>
          <w:numId w:val="36"/>
        </w:numPr>
        <w:tabs>
          <w:tab w:val="left" w:pos="900"/>
          <w:tab w:val="clear" w:pos="210"/>
        </w:tabs>
        <w:ind w:left="0" w:leftChars="0" w:firstLine="480" w:firstLineChars="200"/>
        <w:rPr>
          <w:b/>
          <w:highlight w:val="none"/>
        </w:rPr>
      </w:pPr>
      <w:bookmarkStart w:id="459" w:name="_Toc320794067"/>
      <w:bookmarkStart w:id="460" w:name="_Toc150512289"/>
      <w:bookmarkStart w:id="461" w:name="_Toc25073258"/>
      <w:bookmarkStart w:id="462" w:name="_Toc152042333"/>
      <w:bookmarkStart w:id="463" w:name="_Toc493515874"/>
      <w:bookmarkStart w:id="464" w:name="_Toc493516212"/>
      <w:bookmarkStart w:id="465" w:name="_Toc321514559"/>
      <w:bookmarkStart w:id="466" w:name="_Toc321515003"/>
      <w:bookmarkStart w:id="467" w:name="_Toc144974525"/>
      <w:bookmarkStart w:id="468" w:name="_Toc287906987"/>
      <w:bookmarkStart w:id="469" w:name="_Toc321515891"/>
      <w:bookmarkStart w:id="470" w:name="_Toc493516024"/>
      <w:bookmarkStart w:id="471" w:name="_Toc493516126"/>
      <w:bookmarkStart w:id="472" w:name="_Toc177660947"/>
      <w:bookmarkStart w:id="473" w:name="_Toc152045557"/>
      <w:bookmarkStart w:id="474" w:name="_Toc534192189"/>
      <w:r>
        <w:rPr>
          <w:highlight w:val="none"/>
        </w:rPr>
        <w:t>比选申请文件的递交</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609BD85A">
      <w:pPr>
        <w:pStyle w:val="19"/>
        <w:widowControl/>
        <w:numPr>
          <w:ilvl w:val="0"/>
          <w:numId w:val="3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比选申请人应在比选申请人须知前附表规定的比选申请截止时间前递交比选申请文件。</w:t>
      </w:r>
    </w:p>
    <w:p w14:paraId="2DA732A1">
      <w:pPr>
        <w:pStyle w:val="19"/>
        <w:widowControl/>
        <w:numPr>
          <w:ilvl w:val="0"/>
          <w:numId w:val="3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比选申请人递交比选申请文件的地点：见比选申请人须知前附表。</w:t>
      </w:r>
    </w:p>
    <w:p w14:paraId="14547546">
      <w:pPr>
        <w:pStyle w:val="19"/>
        <w:widowControl/>
        <w:numPr>
          <w:ilvl w:val="0"/>
          <w:numId w:val="38"/>
        </w:numPr>
        <w:tabs>
          <w:tab w:val="left" w:pos="1080"/>
          <w:tab w:val="clear" w:pos="210"/>
        </w:tabs>
        <w:ind w:left="0" w:leftChars="0" w:firstLine="480" w:firstLineChars="200"/>
        <w:rPr>
          <w:b w:val="0"/>
          <w:highlight w:val="none"/>
        </w:rPr>
      </w:pPr>
      <w:r>
        <w:rPr>
          <w:highlight w:val="none"/>
        </w:rPr>
        <w:t>除比选申请人须知前附表另有规定外，比选申请人所递交的比选申请文件不予退还。</w:t>
      </w:r>
    </w:p>
    <w:p w14:paraId="563DC26A">
      <w:pPr>
        <w:pStyle w:val="19"/>
        <w:widowControl/>
        <w:numPr>
          <w:ilvl w:val="0"/>
          <w:numId w:val="38"/>
        </w:numPr>
        <w:tabs>
          <w:tab w:val="left" w:pos="1080"/>
          <w:tab w:val="clear" w:pos="210"/>
        </w:tabs>
        <w:ind w:left="0" w:leftChars="0" w:firstLine="480" w:firstLineChars="200"/>
        <w:rPr>
          <w:b w:val="0"/>
          <w:highlight w:val="none"/>
        </w:rPr>
      </w:pPr>
      <w:r>
        <w:rPr>
          <w:highlight w:val="none"/>
        </w:rPr>
        <w:t>比选人收到比选申请文件后，向比选申请人出具签收凭证。</w:t>
      </w:r>
    </w:p>
    <w:p w14:paraId="6FDED4D8">
      <w:pPr>
        <w:pStyle w:val="19"/>
        <w:widowControl/>
        <w:numPr>
          <w:ilvl w:val="0"/>
          <w:numId w:val="38"/>
        </w:numPr>
        <w:tabs>
          <w:tab w:val="left" w:pos="1080"/>
          <w:tab w:val="clear" w:pos="210"/>
        </w:tabs>
        <w:ind w:left="0" w:leftChars="0" w:firstLine="480" w:firstLineChars="200"/>
        <w:rPr>
          <w:rFonts w:hint="eastAsia" w:ascii="宋体" w:hAnsi="宋体" w:eastAsia="宋体" w:cs="宋体"/>
          <w:b w:val="0"/>
          <w:highlight w:val="none"/>
        </w:rPr>
      </w:pPr>
      <w:r>
        <w:rPr>
          <w:highlight w:val="none"/>
        </w:rPr>
        <w:t>逾期送达的比选申请文件，比选人将予以拒收。</w:t>
      </w:r>
    </w:p>
    <w:p w14:paraId="78C7A0ED">
      <w:pPr>
        <w:pStyle w:val="3"/>
        <w:widowControl/>
        <w:numPr>
          <w:ilvl w:val="0"/>
          <w:numId w:val="36"/>
        </w:numPr>
        <w:tabs>
          <w:tab w:val="left" w:pos="900"/>
          <w:tab w:val="clear" w:pos="210"/>
        </w:tabs>
        <w:ind w:left="0" w:leftChars="0" w:firstLine="480" w:firstLineChars="200"/>
        <w:rPr>
          <w:b/>
          <w:highlight w:val="none"/>
        </w:rPr>
      </w:pPr>
      <w:bookmarkStart w:id="475" w:name="_Toc150512290"/>
      <w:bookmarkStart w:id="476" w:name="_Toc144974526"/>
      <w:bookmarkStart w:id="477" w:name="_Toc177660948"/>
      <w:bookmarkStart w:id="478" w:name="_Toc493516213"/>
      <w:bookmarkStart w:id="479" w:name="_Toc25073259"/>
      <w:bookmarkStart w:id="480" w:name="_Toc287906988"/>
      <w:bookmarkStart w:id="481" w:name="_Toc321515004"/>
      <w:bookmarkStart w:id="482" w:name="_Toc493515875"/>
      <w:bookmarkStart w:id="483" w:name="_Toc493516127"/>
      <w:bookmarkStart w:id="484" w:name="_Toc320794068"/>
      <w:bookmarkStart w:id="485" w:name="_Toc493516025"/>
      <w:bookmarkStart w:id="486" w:name="_Toc321514560"/>
      <w:bookmarkStart w:id="487" w:name="_Toc152045558"/>
      <w:bookmarkStart w:id="488" w:name="_Toc152042334"/>
      <w:bookmarkStart w:id="489" w:name="_Toc534192190"/>
      <w:bookmarkStart w:id="490" w:name="_Toc321515892"/>
      <w:r>
        <w:rPr>
          <w:highlight w:val="none"/>
        </w:rPr>
        <w:t>比选申请文件的修改与撤回</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417B3E4C">
      <w:pPr>
        <w:pStyle w:val="19"/>
        <w:widowControl/>
        <w:numPr>
          <w:ilvl w:val="0"/>
          <w:numId w:val="39"/>
        </w:numPr>
        <w:tabs>
          <w:tab w:val="left" w:pos="1080"/>
          <w:tab w:val="clear" w:pos="210"/>
        </w:tabs>
        <w:ind w:left="0" w:leftChars="0" w:firstLine="480" w:firstLineChars="200"/>
        <w:rPr>
          <w:rFonts w:hint="eastAsia" w:ascii="宋体" w:hAnsi="宋体" w:eastAsia="宋体" w:cs="宋体"/>
          <w:b w:val="0"/>
          <w:highlight w:val="none"/>
        </w:rPr>
      </w:pPr>
      <w:r>
        <w:rPr>
          <w:highlight w:val="none"/>
        </w:rPr>
        <w:t>在本章第 4.2.1 项规定的比选申请截止时间前，比选申请人可以修改或撤回已递交的比选申请文件，但应以书面形式通知比选人。</w:t>
      </w:r>
    </w:p>
    <w:p w14:paraId="240D114F">
      <w:pPr>
        <w:pStyle w:val="19"/>
        <w:widowControl/>
        <w:numPr>
          <w:ilvl w:val="0"/>
          <w:numId w:val="3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比选申请人修改或撤回已递交比选申请文件的书面通知应按照本章第 3.7.3项的要求签字或盖章。比选人收到书面通知后，向比选申请人出具签收凭证。</w:t>
      </w:r>
    </w:p>
    <w:p w14:paraId="02401437">
      <w:pPr>
        <w:pStyle w:val="19"/>
        <w:widowControl/>
        <w:numPr>
          <w:ilvl w:val="0"/>
          <w:numId w:val="3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比选申请人撤回比选申请文件的，比选人自收到比选申请人书面撤回通知之日起 5 日内退还已收取的比选保证金。</w:t>
      </w:r>
    </w:p>
    <w:p w14:paraId="09F61B41">
      <w:pPr>
        <w:pStyle w:val="19"/>
        <w:widowControl/>
        <w:numPr>
          <w:ilvl w:val="0"/>
          <w:numId w:val="39"/>
        </w:numPr>
        <w:tabs>
          <w:tab w:val="left" w:pos="1080"/>
          <w:tab w:val="clear" w:pos="210"/>
        </w:tabs>
        <w:ind w:left="0" w:leftChars="0" w:firstLine="480" w:firstLineChars="200"/>
        <w:rPr>
          <w:rFonts w:hint="eastAsia" w:ascii="宋体" w:hAnsi="宋体" w:eastAsia="宋体" w:cs="宋体"/>
          <w:b w:val="0"/>
          <w:highlight w:val="none"/>
        </w:rPr>
      </w:pPr>
      <w:r>
        <w:rPr>
          <w:highlight w:val="none"/>
        </w:rPr>
        <w:t>修改的内容为比选申请文件的组成部分。修改的比选申请文件应按照本章第 3 条、第 4 条的规定进行编制、密封、标记和递交，并标明“修改”字样。</w:t>
      </w:r>
    </w:p>
    <w:p w14:paraId="71488259">
      <w:pPr>
        <w:pStyle w:val="2"/>
        <w:widowControl/>
        <w:numPr>
          <w:ilvl w:val="0"/>
          <w:numId w:val="10"/>
        </w:numPr>
        <w:tabs>
          <w:tab w:val="left" w:pos="860"/>
          <w:tab w:val="clear" w:pos="210"/>
        </w:tabs>
        <w:ind w:left="0" w:leftChars="0" w:firstLine="480" w:firstLineChars="200"/>
        <w:rPr>
          <w:b/>
          <w:highlight w:val="none"/>
        </w:rPr>
      </w:pPr>
      <w:bookmarkStart w:id="491" w:name="_Toc25073260"/>
      <w:bookmarkStart w:id="492" w:name="_Toc152045559"/>
      <w:bookmarkStart w:id="493" w:name="_Toc493515876"/>
      <w:bookmarkStart w:id="494" w:name="_Toc152042335"/>
      <w:bookmarkStart w:id="495" w:name="_Toc144974527"/>
      <w:bookmarkStart w:id="496" w:name="_Toc150512291"/>
      <w:bookmarkStart w:id="497" w:name="_Toc534192191"/>
      <w:bookmarkStart w:id="498" w:name="_Toc321515893"/>
      <w:bookmarkStart w:id="499" w:name="_Toc177660949"/>
      <w:bookmarkStart w:id="500" w:name="_Toc493516026"/>
      <w:bookmarkStart w:id="501" w:name="_Toc321514561"/>
      <w:bookmarkStart w:id="502" w:name="_Toc493516128"/>
      <w:bookmarkStart w:id="503" w:name="_Toc493516214"/>
      <w:r>
        <w:rPr>
          <w:highlight w:val="none"/>
        </w:rPr>
        <w:t>开选</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7DFB8F21">
      <w:pPr>
        <w:pStyle w:val="3"/>
        <w:widowControl/>
        <w:numPr>
          <w:ilvl w:val="0"/>
          <w:numId w:val="40"/>
        </w:numPr>
        <w:tabs>
          <w:tab w:val="left" w:pos="900"/>
          <w:tab w:val="clear" w:pos="210"/>
        </w:tabs>
        <w:ind w:left="0" w:leftChars="0" w:firstLine="480" w:firstLineChars="200"/>
        <w:rPr>
          <w:b/>
          <w:highlight w:val="none"/>
        </w:rPr>
      </w:pPr>
      <w:bookmarkStart w:id="504" w:name="_Toc320794070"/>
      <w:bookmarkStart w:id="505" w:name="_Toc25073261"/>
      <w:bookmarkStart w:id="506" w:name="_Toc493516215"/>
      <w:bookmarkStart w:id="507" w:name="_Toc493515877"/>
      <w:bookmarkStart w:id="508" w:name="_Toc321515006"/>
      <w:bookmarkStart w:id="509" w:name="_Toc287906990"/>
      <w:bookmarkStart w:id="510" w:name="_Toc321515894"/>
      <w:bookmarkStart w:id="511" w:name="_Toc534192192"/>
      <w:bookmarkStart w:id="512" w:name="_Toc321514562"/>
      <w:bookmarkStart w:id="513" w:name="_Toc177660950"/>
      <w:bookmarkStart w:id="514" w:name="_Toc152042336"/>
      <w:bookmarkStart w:id="515" w:name="_Toc493516129"/>
      <w:bookmarkStart w:id="516" w:name="_Toc152045560"/>
      <w:bookmarkStart w:id="517" w:name="_Toc144974528"/>
      <w:bookmarkStart w:id="518" w:name="_Toc493516027"/>
      <w:bookmarkStart w:id="519" w:name="_Toc150512292"/>
      <w:r>
        <w:rPr>
          <w:highlight w:val="none"/>
        </w:rPr>
        <w:t>开选时间和地点</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6ADFC0C6">
      <w:pPr>
        <w:pStyle w:val="19"/>
        <w:widowControl/>
        <w:ind w:left="0" w:leftChars="0" w:firstLine="480" w:firstLineChars="200"/>
        <w:rPr>
          <w:highlight w:val="none"/>
        </w:rPr>
      </w:pPr>
      <w:r>
        <w:rPr>
          <w:highlight w:val="none"/>
        </w:rPr>
        <w:t>比选人在本章第 4.2.1 项规定的比选申请截止时间（开选时间）和比选申请人须知前附表规定的地点公开开选，并邀请所有比选申请人的法定代表人（或单位负责人）或其委托代理人准时参加。</w:t>
      </w:r>
    </w:p>
    <w:p w14:paraId="636F061A">
      <w:pPr>
        <w:pStyle w:val="3"/>
        <w:widowControl/>
        <w:numPr>
          <w:ilvl w:val="0"/>
          <w:numId w:val="40"/>
        </w:numPr>
        <w:tabs>
          <w:tab w:val="left" w:pos="900"/>
          <w:tab w:val="clear" w:pos="210"/>
        </w:tabs>
        <w:ind w:left="0" w:leftChars="0" w:firstLine="480" w:firstLineChars="200"/>
        <w:rPr>
          <w:b/>
          <w:highlight w:val="none"/>
        </w:rPr>
      </w:pPr>
      <w:bookmarkStart w:id="520" w:name="_Toc534192193"/>
      <w:bookmarkStart w:id="521" w:name="_Toc321515895"/>
      <w:bookmarkStart w:id="522" w:name="_Toc321514563"/>
      <w:bookmarkStart w:id="523" w:name="_Toc150512293"/>
      <w:bookmarkStart w:id="524" w:name="_Toc493516028"/>
      <w:bookmarkStart w:id="525" w:name="_Toc493516130"/>
      <w:bookmarkStart w:id="526" w:name="_Toc25073262"/>
      <w:bookmarkStart w:id="527" w:name="_Toc152042337"/>
      <w:bookmarkStart w:id="528" w:name="_Toc321515007"/>
      <w:bookmarkStart w:id="529" w:name="_Toc320794071"/>
      <w:bookmarkStart w:id="530" w:name="_Toc287906991"/>
      <w:bookmarkStart w:id="531" w:name="_Toc144974529"/>
      <w:bookmarkStart w:id="532" w:name="_Toc493515878"/>
      <w:bookmarkStart w:id="533" w:name="_Toc152045561"/>
      <w:bookmarkStart w:id="534" w:name="_Toc493516216"/>
      <w:bookmarkStart w:id="535" w:name="_Toc177660951"/>
      <w:r>
        <w:rPr>
          <w:highlight w:val="none"/>
        </w:rPr>
        <w:t>开选程序</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2E4801B">
      <w:pPr>
        <w:pStyle w:val="19"/>
        <w:widowControl/>
        <w:ind w:left="0" w:leftChars="0" w:firstLine="480" w:firstLineChars="200"/>
        <w:rPr>
          <w:highlight w:val="none"/>
        </w:rPr>
      </w:pPr>
      <w:r>
        <w:rPr>
          <w:highlight w:val="none"/>
        </w:rPr>
        <w:t>主持人按下列程序进行开选：</w:t>
      </w:r>
    </w:p>
    <w:p w14:paraId="29FAE3D3">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宣布开选纪律；</w:t>
      </w:r>
    </w:p>
    <w:p w14:paraId="7E0CAB83">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公布在比选申请截止时间前递交比选申请文件的比选申请人名称；</w:t>
      </w:r>
    </w:p>
    <w:p w14:paraId="440DA342">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宣布开选人、唱标人、记录人、监选人等有关人员姓名；</w:t>
      </w:r>
    </w:p>
    <w:p w14:paraId="6E0CF94C">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检查比选申请文件的密封情况，按照比选申请人须知前附表规定的开选顺序当众开选，公布比选项目名称、比选申请人名称、比选保证金的递交情况、参选报价、服务期限及其他内容，并记录在案；</w:t>
      </w:r>
    </w:p>
    <w:p w14:paraId="20BD7481">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比选申请人代表、比选人代表、监标人、记录人等有关人员在开选记录上签字确认；</w:t>
      </w:r>
    </w:p>
    <w:p w14:paraId="423197E8">
      <w:pPr>
        <w:pStyle w:val="19"/>
        <w:widowControl/>
        <w:numPr>
          <w:ilvl w:val="0"/>
          <w:numId w:val="41"/>
        </w:numPr>
        <w:tabs>
          <w:tab w:val="left" w:pos="1080"/>
        </w:tabs>
        <w:topLinePunct w:val="0"/>
        <w:ind w:left="0" w:leftChars="0" w:firstLine="480" w:firstLineChars="200"/>
        <w:rPr>
          <w:rFonts w:hint="eastAsia" w:ascii="宋体" w:hAnsi="宋体" w:eastAsia="宋体" w:cs="宋体"/>
          <w:b w:val="0"/>
          <w:highlight w:val="none"/>
        </w:rPr>
      </w:pPr>
      <w:r>
        <w:rPr>
          <w:highlight w:val="none"/>
        </w:rPr>
        <w:t xml:space="preserve">开选结束。 </w:t>
      </w:r>
    </w:p>
    <w:p w14:paraId="0FE021A6">
      <w:pPr>
        <w:pStyle w:val="2"/>
        <w:widowControl/>
        <w:numPr>
          <w:ilvl w:val="0"/>
          <w:numId w:val="10"/>
        </w:numPr>
        <w:tabs>
          <w:tab w:val="left" w:pos="860"/>
          <w:tab w:val="clear" w:pos="210"/>
        </w:tabs>
        <w:ind w:left="0" w:leftChars="0" w:firstLine="480" w:firstLineChars="200"/>
        <w:rPr>
          <w:b/>
          <w:highlight w:val="none"/>
        </w:rPr>
      </w:pPr>
      <w:bookmarkStart w:id="536" w:name="_Toc152042338"/>
      <w:bookmarkStart w:id="537" w:name="_Toc321515896"/>
      <w:bookmarkStart w:id="538" w:name="_Toc150512294"/>
      <w:bookmarkStart w:id="539" w:name="_Toc152045562"/>
      <w:bookmarkStart w:id="540" w:name="_Toc25073263"/>
      <w:bookmarkStart w:id="541" w:name="_Toc321514564"/>
      <w:bookmarkStart w:id="542" w:name="_Toc493516217"/>
      <w:bookmarkStart w:id="543" w:name="_Toc177660952"/>
      <w:bookmarkStart w:id="544" w:name="_Toc493516131"/>
      <w:bookmarkStart w:id="545" w:name="_Toc493515879"/>
      <w:bookmarkStart w:id="546" w:name="_Toc534192194"/>
      <w:bookmarkStart w:id="547" w:name="_Toc493516029"/>
      <w:bookmarkStart w:id="548" w:name="_Toc144974530"/>
      <w:r>
        <w:rPr>
          <w:highlight w:val="none"/>
        </w:rPr>
        <w:t>评审</w:t>
      </w:r>
      <w:bookmarkEnd w:id="536"/>
      <w:bookmarkEnd w:id="537"/>
      <w:bookmarkEnd w:id="538"/>
      <w:bookmarkEnd w:id="539"/>
      <w:bookmarkEnd w:id="540"/>
      <w:bookmarkEnd w:id="541"/>
      <w:bookmarkEnd w:id="542"/>
      <w:bookmarkEnd w:id="543"/>
      <w:bookmarkEnd w:id="544"/>
      <w:bookmarkEnd w:id="545"/>
      <w:bookmarkEnd w:id="546"/>
      <w:bookmarkEnd w:id="547"/>
      <w:bookmarkEnd w:id="548"/>
    </w:p>
    <w:p w14:paraId="4BF864F1">
      <w:pPr>
        <w:pStyle w:val="3"/>
        <w:widowControl/>
        <w:numPr>
          <w:ilvl w:val="0"/>
          <w:numId w:val="42"/>
        </w:numPr>
        <w:tabs>
          <w:tab w:val="left" w:pos="900"/>
          <w:tab w:val="clear" w:pos="210"/>
        </w:tabs>
        <w:ind w:left="0" w:leftChars="0" w:firstLine="480" w:firstLineChars="200"/>
        <w:rPr>
          <w:b/>
          <w:highlight w:val="none"/>
        </w:rPr>
      </w:pPr>
      <w:bookmarkStart w:id="549" w:name="_Toc321515009"/>
      <w:bookmarkStart w:id="550" w:name="_Toc152045563"/>
      <w:bookmarkStart w:id="551" w:name="_Toc321514565"/>
      <w:bookmarkStart w:id="552" w:name="_Toc493516030"/>
      <w:bookmarkStart w:id="553" w:name="_Toc177660953"/>
      <w:bookmarkStart w:id="554" w:name="_Toc152042339"/>
      <w:bookmarkStart w:id="555" w:name="_Toc25073264"/>
      <w:bookmarkStart w:id="556" w:name="_Toc321515897"/>
      <w:bookmarkStart w:id="557" w:name="_Toc287906993"/>
      <w:bookmarkStart w:id="558" w:name="_Toc493515880"/>
      <w:bookmarkStart w:id="559" w:name="_Toc150512295"/>
      <w:bookmarkStart w:id="560" w:name="_Toc493516218"/>
      <w:bookmarkStart w:id="561" w:name="_Toc144974531"/>
      <w:bookmarkStart w:id="562" w:name="_Toc493516132"/>
      <w:bookmarkStart w:id="563" w:name="_Toc320794073"/>
      <w:bookmarkStart w:id="564" w:name="_Toc534192195"/>
      <w:r>
        <w:rPr>
          <w:highlight w:val="none"/>
        </w:rPr>
        <w:t>评审委员会</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1200D9B8">
      <w:pPr>
        <w:pStyle w:val="19"/>
        <w:widowControl/>
        <w:numPr>
          <w:ilvl w:val="0"/>
          <w:numId w:val="43"/>
        </w:numPr>
        <w:tabs>
          <w:tab w:val="left" w:pos="1080"/>
          <w:tab w:val="clear" w:pos="210"/>
        </w:tabs>
        <w:ind w:left="0" w:leftChars="0" w:firstLine="480" w:firstLineChars="200"/>
        <w:rPr>
          <w:b w:val="0"/>
          <w:highlight w:val="none"/>
        </w:rPr>
      </w:pPr>
      <w:r>
        <w:rPr>
          <w:highlight w:val="none"/>
        </w:rPr>
        <w:t>评审由比选人依法组建的评审委员会负责。评审委员会由比选人代表，以及有关技术、经济等方面的专家组成。评审委员会成员人数以及技术、经济等方面专家的确定方式见比选申请人须知前附表。</w:t>
      </w:r>
    </w:p>
    <w:p w14:paraId="10D78C91">
      <w:pPr>
        <w:pStyle w:val="19"/>
        <w:widowControl/>
        <w:numPr>
          <w:ilvl w:val="0"/>
          <w:numId w:val="43"/>
        </w:numPr>
        <w:tabs>
          <w:tab w:val="left" w:pos="1080"/>
          <w:tab w:val="clear" w:pos="210"/>
        </w:tabs>
        <w:ind w:left="0" w:leftChars="0" w:firstLine="480" w:firstLineChars="200"/>
        <w:rPr>
          <w:b w:val="0"/>
          <w:highlight w:val="none"/>
        </w:rPr>
      </w:pPr>
      <w:r>
        <w:rPr>
          <w:highlight w:val="none"/>
        </w:rPr>
        <w:t>评审委员会成员有下列情形之一的，应当回避：</w:t>
      </w:r>
    </w:p>
    <w:p w14:paraId="7A0C657A">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比选人或比选申请人的主要负责人的近亲属；</w:t>
      </w:r>
    </w:p>
    <w:p w14:paraId="5426BE03">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项目主管部门或者行政监督部门的人员；</w:t>
      </w:r>
    </w:p>
    <w:p w14:paraId="680A6A1B">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与比选申请人有经济利益关系，可能影响对比选公正评审的；</w:t>
      </w:r>
    </w:p>
    <w:p w14:paraId="10915D94">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曾因在比选（招标）、评审以及其他与比选（招标）有关活动中从事违法行为而受过行政处罚或刑事处罚的。</w:t>
      </w:r>
    </w:p>
    <w:p w14:paraId="46E916EC">
      <w:pPr>
        <w:pStyle w:val="19"/>
        <w:widowControl/>
        <w:numPr>
          <w:ilvl w:val="0"/>
          <w:numId w:val="44"/>
        </w:numPr>
        <w:tabs>
          <w:tab w:val="left" w:pos="1080"/>
        </w:tabs>
        <w:topLinePunct w:val="0"/>
        <w:ind w:left="0" w:leftChars="0" w:firstLine="480" w:firstLineChars="200"/>
        <w:rPr>
          <w:rFonts w:hint="eastAsia" w:ascii="宋体" w:hAnsi="宋体" w:eastAsia="宋体" w:cs="宋体"/>
          <w:b w:val="0"/>
          <w:highlight w:val="none"/>
        </w:rPr>
      </w:pPr>
      <w:r>
        <w:rPr>
          <w:highlight w:val="none"/>
        </w:rPr>
        <w:t>与比选申请人有其他利害关系。</w:t>
      </w:r>
    </w:p>
    <w:p w14:paraId="0AD56AF8">
      <w:pPr>
        <w:pStyle w:val="19"/>
        <w:widowControl/>
        <w:numPr>
          <w:ilvl w:val="0"/>
          <w:numId w:val="43"/>
        </w:numPr>
        <w:tabs>
          <w:tab w:val="left" w:pos="1080"/>
          <w:tab w:val="clear" w:pos="210"/>
        </w:tabs>
        <w:ind w:left="0" w:leftChars="0" w:firstLine="480" w:firstLineChars="200"/>
        <w:rPr>
          <w:b w:val="0"/>
          <w:highlight w:val="none"/>
        </w:rPr>
      </w:pPr>
      <w:r>
        <w:rPr>
          <w:highlight w:val="none"/>
        </w:rPr>
        <w:t>评审过程中，评审委员会成员有回避事由、擅离职守或者因健康等原因不能继续评审的，比选人有权更换。被更换的评审委员会成员作出的评审结论无效，由更换后的评审委员会成员重新进行评审。</w:t>
      </w:r>
    </w:p>
    <w:p w14:paraId="18EF36BB">
      <w:pPr>
        <w:pStyle w:val="3"/>
        <w:widowControl/>
        <w:numPr>
          <w:ilvl w:val="0"/>
          <w:numId w:val="42"/>
        </w:numPr>
        <w:tabs>
          <w:tab w:val="left" w:pos="900"/>
          <w:tab w:val="clear" w:pos="210"/>
        </w:tabs>
        <w:ind w:left="0" w:leftChars="0" w:firstLine="480" w:firstLineChars="200"/>
        <w:rPr>
          <w:b/>
          <w:highlight w:val="none"/>
        </w:rPr>
      </w:pPr>
      <w:bookmarkStart w:id="565" w:name="_Toc152045564"/>
      <w:bookmarkStart w:id="566" w:name="_Toc534192196"/>
      <w:bookmarkStart w:id="567" w:name="_Toc321515010"/>
      <w:bookmarkStart w:id="568" w:name="_Toc320794074"/>
      <w:bookmarkStart w:id="569" w:name="_Toc144974532"/>
      <w:bookmarkStart w:id="570" w:name="_Toc321514566"/>
      <w:bookmarkStart w:id="571" w:name="_Toc493516133"/>
      <w:bookmarkStart w:id="572" w:name="_Toc493516219"/>
      <w:bookmarkStart w:id="573" w:name="_Toc25073265"/>
      <w:bookmarkStart w:id="574" w:name="_Toc150512296"/>
      <w:bookmarkStart w:id="575" w:name="_Toc287906994"/>
      <w:bookmarkStart w:id="576" w:name="_Toc321515898"/>
      <w:bookmarkStart w:id="577" w:name="_Toc493516031"/>
      <w:bookmarkStart w:id="578" w:name="_Toc493515881"/>
      <w:bookmarkStart w:id="579" w:name="_Toc152042340"/>
      <w:bookmarkStart w:id="580" w:name="_Toc177660954"/>
      <w:r>
        <w:rPr>
          <w:highlight w:val="none"/>
        </w:rPr>
        <w:t>评审原则</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Pr>
          <w:highlight w:val="none"/>
        </w:rPr>
        <w:tab/>
      </w:r>
    </w:p>
    <w:p w14:paraId="6A1B00A4">
      <w:pPr>
        <w:pStyle w:val="19"/>
        <w:widowControl/>
        <w:ind w:left="0" w:leftChars="0" w:firstLine="480" w:firstLineChars="200"/>
        <w:rPr>
          <w:highlight w:val="none"/>
        </w:rPr>
      </w:pPr>
      <w:r>
        <w:rPr>
          <w:highlight w:val="none"/>
        </w:rPr>
        <w:t>评审活动遵循公平、公正、科学和择优的原则。</w:t>
      </w:r>
    </w:p>
    <w:p w14:paraId="1B4D2C81">
      <w:pPr>
        <w:pStyle w:val="3"/>
        <w:widowControl/>
        <w:numPr>
          <w:ilvl w:val="0"/>
          <w:numId w:val="42"/>
        </w:numPr>
        <w:tabs>
          <w:tab w:val="left" w:pos="900"/>
          <w:tab w:val="clear" w:pos="210"/>
        </w:tabs>
        <w:ind w:left="0" w:leftChars="0" w:firstLine="480" w:firstLineChars="200"/>
        <w:rPr>
          <w:b/>
          <w:highlight w:val="none"/>
        </w:rPr>
      </w:pPr>
      <w:bookmarkStart w:id="581" w:name="_Toc493516032"/>
      <w:bookmarkStart w:id="582" w:name="_Toc287906995"/>
      <w:bookmarkStart w:id="583" w:name="_Toc144974533"/>
      <w:bookmarkStart w:id="584" w:name="_Toc321515011"/>
      <w:bookmarkStart w:id="585" w:name="_Toc493515882"/>
      <w:bookmarkStart w:id="586" w:name="_Toc152045565"/>
      <w:bookmarkStart w:id="587" w:name="_Toc493516134"/>
      <w:bookmarkStart w:id="588" w:name="_Toc493516220"/>
      <w:bookmarkStart w:id="589" w:name="_Toc534192197"/>
      <w:bookmarkStart w:id="590" w:name="_Toc320794075"/>
      <w:bookmarkStart w:id="591" w:name="_Toc321515899"/>
      <w:bookmarkStart w:id="592" w:name="_Toc25073266"/>
      <w:bookmarkStart w:id="593" w:name="_Toc321514567"/>
      <w:bookmarkStart w:id="594" w:name="_Toc150512297"/>
      <w:bookmarkStart w:id="595" w:name="_Toc177660955"/>
      <w:bookmarkStart w:id="596" w:name="_Toc152042341"/>
      <w:r>
        <w:rPr>
          <w:highlight w:val="none"/>
        </w:rPr>
        <w:t>评审</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388775E5">
      <w:pPr>
        <w:pStyle w:val="19"/>
        <w:widowControl/>
        <w:numPr>
          <w:ilvl w:val="0"/>
          <w:numId w:val="45"/>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评审委员会按照第三章“评审办法”规定的方法、评审因素、标准和程序对比选申请文件进行评审。第三章“评审办法”没有规定的方法、评审因素和标准，不作为评审依据。</w:t>
      </w:r>
    </w:p>
    <w:p w14:paraId="056372A1">
      <w:pPr>
        <w:pStyle w:val="19"/>
        <w:widowControl/>
        <w:numPr>
          <w:ilvl w:val="0"/>
          <w:numId w:val="45"/>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评审完成后，评审委员会应当向比选人提交书面评审报告和中选候选人名单。评审委员会推荐中选候选人的人数见比选申请人须知前附表。</w:t>
      </w:r>
    </w:p>
    <w:p w14:paraId="12FA7149">
      <w:pPr>
        <w:pStyle w:val="2"/>
        <w:widowControl/>
        <w:numPr>
          <w:ilvl w:val="0"/>
          <w:numId w:val="10"/>
        </w:numPr>
        <w:tabs>
          <w:tab w:val="left" w:pos="860"/>
          <w:tab w:val="clear" w:pos="210"/>
        </w:tabs>
        <w:ind w:left="0" w:leftChars="0" w:firstLine="480" w:firstLineChars="200"/>
        <w:rPr>
          <w:b/>
          <w:highlight w:val="none"/>
        </w:rPr>
      </w:pPr>
      <w:bookmarkStart w:id="597" w:name="_Toc493516221"/>
      <w:bookmarkStart w:id="598" w:name="_Toc493516135"/>
      <w:bookmarkStart w:id="599" w:name="_Toc150512298"/>
      <w:bookmarkStart w:id="600" w:name="_Toc321514568"/>
      <w:bookmarkStart w:id="601" w:name="_Toc321515900"/>
      <w:bookmarkStart w:id="602" w:name="_Toc152045566"/>
      <w:bookmarkStart w:id="603" w:name="_Toc25073267"/>
      <w:bookmarkStart w:id="604" w:name="_Toc493516033"/>
      <w:bookmarkStart w:id="605" w:name="_Toc493515883"/>
      <w:bookmarkStart w:id="606" w:name="_Toc144974534"/>
      <w:bookmarkStart w:id="607" w:name="_Toc152042342"/>
      <w:bookmarkStart w:id="608" w:name="_Toc177660956"/>
      <w:bookmarkStart w:id="609" w:name="_Toc534192198"/>
      <w:r>
        <w:rPr>
          <w:highlight w:val="none"/>
        </w:rPr>
        <w:t>合同授予</w:t>
      </w:r>
      <w:bookmarkEnd w:id="597"/>
      <w:bookmarkEnd w:id="598"/>
      <w:bookmarkEnd w:id="599"/>
      <w:bookmarkEnd w:id="600"/>
      <w:bookmarkEnd w:id="601"/>
      <w:bookmarkEnd w:id="602"/>
      <w:bookmarkEnd w:id="603"/>
      <w:bookmarkEnd w:id="604"/>
      <w:bookmarkEnd w:id="605"/>
      <w:bookmarkEnd w:id="606"/>
      <w:bookmarkEnd w:id="607"/>
      <w:bookmarkEnd w:id="608"/>
      <w:bookmarkEnd w:id="609"/>
    </w:p>
    <w:p w14:paraId="35AFEFC6">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bookmarkStart w:id="610" w:name="_Toc287906997"/>
      <w:bookmarkStart w:id="611" w:name="_Toc25073268"/>
      <w:bookmarkStart w:id="612" w:name="_Toc150512299"/>
      <w:bookmarkStart w:id="613" w:name="_Toc321515013"/>
      <w:bookmarkStart w:id="614" w:name="_Toc534192199"/>
      <w:bookmarkStart w:id="615" w:name="_Toc152042343"/>
      <w:bookmarkStart w:id="616" w:name="_Toc321514569"/>
      <w:bookmarkStart w:id="617" w:name="_Toc493516222"/>
      <w:bookmarkStart w:id="618" w:name="_Toc493516034"/>
      <w:bookmarkStart w:id="619" w:name="_Toc493515884"/>
      <w:bookmarkStart w:id="620" w:name="_Toc144974535"/>
      <w:bookmarkStart w:id="621" w:name="_Toc320794077"/>
      <w:bookmarkStart w:id="622" w:name="_Toc321515901"/>
      <w:bookmarkStart w:id="623" w:name="_Toc177660957"/>
      <w:bookmarkStart w:id="624" w:name="_Toc493516136"/>
      <w:bookmarkStart w:id="625" w:name="_Toc152045567"/>
      <w:r>
        <w:rPr>
          <w:highlight w:val="none"/>
        </w:rPr>
        <w:t>中选候选人公示</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12FC3B76">
      <w:pPr>
        <w:pStyle w:val="19"/>
        <w:widowControl/>
        <w:ind w:left="0" w:leftChars="0" w:firstLine="480" w:firstLineChars="200"/>
        <w:rPr>
          <w:highlight w:val="none"/>
        </w:rPr>
      </w:pPr>
      <w:r>
        <w:rPr>
          <w:highlight w:val="none"/>
        </w:rPr>
        <w:t>无。</w:t>
      </w:r>
    </w:p>
    <w:p w14:paraId="1532816A">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bookmarkStart w:id="626" w:name="_Toc321514570"/>
      <w:bookmarkStart w:id="627" w:name="_Toc144974536"/>
      <w:bookmarkStart w:id="628" w:name="_Toc321515014"/>
      <w:bookmarkStart w:id="629" w:name="_Toc493516035"/>
      <w:bookmarkStart w:id="630" w:name="_Toc152045568"/>
      <w:bookmarkStart w:id="631" w:name="_Toc287906998"/>
      <w:bookmarkStart w:id="632" w:name="_Toc177660958"/>
      <w:bookmarkStart w:id="633" w:name="_Toc25073269"/>
      <w:bookmarkStart w:id="634" w:name="_Toc150512300"/>
      <w:bookmarkStart w:id="635" w:name="_Toc493515885"/>
      <w:bookmarkStart w:id="636" w:name="_Toc321515902"/>
      <w:bookmarkStart w:id="637" w:name="_Toc320794078"/>
      <w:bookmarkStart w:id="638" w:name="_Toc493516223"/>
      <w:bookmarkStart w:id="639" w:name="_Toc534192200"/>
      <w:bookmarkStart w:id="640" w:name="_Toc493516137"/>
      <w:bookmarkStart w:id="641" w:name="_Toc152042344"/>
      <w:r>
        <w:rPr>
          <w:highlight w:val="none"/>
        </w:rPr>
        <w:t>评审结果异议</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C4C58D3">
      <w:pPr>
        <w:pStyle w:val="19"/>
        <w:widowControl/>
        <w:ind w:left="0" w:leftChars="0" w:firstLine="480" w:firstLineChars="200"/>
        <w:rPr>
          <w:highlight w:val="none"/>
        </w:rPr>
      </w:pPr>
      <w:r>
        <w:rPr>
          <w:highlight w:val="none"/>
        </w:rPr>
        <w:t>比选申请人或者其他利害关系人对评审结果有异议的，应当在中选结果公示期间提出。比选人将在收到异议之日起 3 个工作日内作出答复；作出答复前，将暂停比选活动。</w:t>
      </w:r>
    </w:p>
    <w:p w14:paraId="731ECC59">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bookmarkStart w:id="642" w:name="_Toc150512301"/>
      <w:bookmarkStart w:id="643" w:name="_Toc493515886"/>
      <w:bookmarkStart w:id="644" w:name="_Toc152045569"/>
      <w:bookmarkStart w:id="645" w:name="_Toc493516138"/>
      <w:bookmarkStart w:id="646" w:name="_Toc25073270"/>
      <w:bookmarkStart w:id="647" w:name="_Toc144974537"/>
      <w:bookmarkStart w:id="648" w:name="_Toc321514571"/>
      <w:bookmarkStart w:id="649" w:name="_Toc152042345"/>
      <w:bookmarkStart w:id="650" w:name="_Toc320794079"/>
      <w:bookmarkStart w:id="651" w:name="_Toc534192201"/>
      <w:bookmarkStart w:id="652" w:name="_Toc493516036"/>
      <w:bookmarkStart w:id="653" w:name="_Toc287906999"/>
      <w:bookmarkStart w:id="654" w:name="_Toc177660959"/>
      <w:bookmarkStart w:id="655" w:name="_Toc493516224"/>
      <w:bookmarkStart w:id="656" w:name="_Toc321515015"/>
      <w:bookmarkStart w:id="657" w:name="_Toc321515903"/>
      <w:r>
        <w:rPr>
          <w:highlight w:val="none"/>
        </w:rPr>
        <w:t>中选候选人履约能力审查</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5FFBB107">
      <w:pPr>
        <w:pStyle w:val="19"/>
        <w:widowControl/>
        <w:ind w:left="0" w:leftChars="0" w:firstLine="480" w:firstLineChars="200"/>
        <w:rPr>
          <w:highlight w:val="none"/>
        </w:rPr>
      </w:pPr>
      <w:r>
        <w:rPr>
          <w:highlight w:val="none"/>
        </w:rPr>
        <w:t>中选候选人的经营、财务状况发生较大变化或存在违法行为，比选人认为可能影响其履约能力的，将在发出中选通知书前请原评审委员会按照比选文件规定的标准和方法进行审查确认。</w:t>
      </w:r>
    </w:p>
    <w:p w14:paraId="7AC8ADD9">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bookmarkStart w:id="658" w:name="_Toc152042346"/>
      <w:bookmarkStart w:id="659" w:name="_Toc152045570"/>
      <w:bookmarkStart w:id="660" w:name="_Toc493516139"/>
      <w:bookmarkStart w:id="661" w:name="_Toc150512302"/>
      <w:bookmarkStart w:id="662" w:name="_Toc493516037"/>
      <w:bookmarkStart w:id="663" w:name="_Toc534192202"/>
      <w:bookmarkStart w:id="664" w:name="_Toc493516225"/>
      <w:bookmarkStart w:id="665" w:name="_Toc321514572"/>
      <w:bookmarkStart w:id="666" w:name="_Toc177660960"/>
      <w:bookmarkStart w:id="667" w:name="_Toc493515887"/>
      <w:bookmarkStart w:id="668" w:name="_Toc320794080"/>
      <w:bookmarkStart w:id="669" w:name="_Toc321515904"/>
      <w:bookmarkStart w:id="670" w:name="_Toc321515016"/>
      <w:bookmarkStart w:id="671" w:name="_Toc25073271"/>
      <w:bookmarkStart w:id="672" w:name="_Toc144974538"/>
      <w:bookmarkStart w:id="673" w:name="_Toc287907000"/>
      <w:r>
        <w:rPr>
          <w:highlight w:val="none"/>
        </w:rPr>
        <w:t>定标</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7085A78B">
      <w:pPr>
        <w:pStyle w:val="19"/>
        <w:widowControl/>
        <w:ind w:left="0" w:leftChars="0" w:firstLine="480" w:firstLineChars="200"/>
        <w:rPr>
          <w:highlight w:val="none"/>
        </w:rPr>
      </w:pPr>
      <w:r>
        <w:rPr>
          <w:highlight w:val="none"/>
        </w:rPr>
        <w:t>按照比选申请人须知前附表的规定，比选人或比选人授权的评审委员会依法确定中选人。</w:t>
      </w:r>
    </w:p>
    <w:p w14:paraId="25C47504">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r>
        <w:rPr>
          <w:highlight w:val="none"/>
        </w:rPr>
        <w:t>中选通知</w:t>
      </w:r>
      <w:bookmarkStart w:id="674" w:name="_Toc144974539"/>
      <w:bookmarkStart w:id="675" w:name="_Toc321514573"/>
      <w:bookmarkStart w:id="676" w:name="_Toc321515905"/>
      <w:bookmarkStart w:id="677" w:name="_Toc152045571"/>
      <w:bookmarkStart w:id="678" w:name="_Toc152042347"/>
    </w:p>
    <w:p w14:paraId="452A98AA">
      <w:pPr>
        <w:pStyle w:val="19"/>
        <w:widowControl/>
        <w:ind w:left="0" w:leftChars="0" w:firstLine="480" w:firstLineChars="200"/>
        <w:rPr>
          <w:highlight w:val="none"/>
        </w:rPr>
      </w:pPr>
      <w:r>
        <w:rPr>
          <w:highlight w:val="none"/>
        </w:rPr>
        <w:t>在本章第 3.3 款规定的比选有效期内，比选人以书面形式向中选人发出中选通知书，同时将中选结果通知未中选的比选申请人。</w:t>
      </w:r>
    </w:p>
    <w:p w14:paraId="5F1D45F3">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r>
        <w:rPr>
          <w:highlight w:val="none"/>
        </w:rPr>
        <w:t>技术成果经济补偿</w:t>
      </w:r>
    </w:p>
    <w:p w14:paraId="4562FB25">
      <w:pPr>
        <w:pStyle w:val="19"/>
        <w:widowControl/>
        <w:ind w:left="0" w:leftChars="0" w:firstLine="480" w:firstLineChars="200"/>
        <w:rPr>
          <w:highlight w:val="none"/>
        </w:rPr>
      </w:pPr>
      <w:r>
        <w:rPr>
          <w:highlight w:val="none"/>
        </w:rPr>
        <w:t>不补偿。</w:t>
      </w:r>
    </w:p>
    <w:p w14:paraId="2F1DB70C">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r>
        <w:rPr>
          <w:highlight w:val="none"/>
        </w:rPr>
        <w:t>履约保证金</w:t>
      </w:r>
    </w:p>
    <w:p w14:paraId="76F9184B">
      <w:pPr>
        <w:pStyle w:val="19"/>
        <w:widowControl/>
        <w:numPr>
          <w:ilvl w:val="0"/>
          <w:numId w:val="47"/>
        </w:numPr>
        <w:tabs>
          <w:tab w:val="left" w:pos="1080"/>
          <w:tab w:val="clear" w:pos="210"/>
        </w:tabs>
        <w:ind w:left="0" w:leftChars="0" w:firstLine="480" w:firstLineChars="200"/>
        <w:rPr>
          <w:rFonts w:hint="eastAsia" w:ascii="宋体" w:hAnsi="宋体" w:eastAsia="宋体" w:cs="宋体"/>
          <w:b w:val="0"/>
          <w:highlight w:val="none"/>
        </w:rPr>
      </w:pPr>
      <w:r>
        <w:rPr>
          <w:highlight w:val="none"/>
        </w:rPr>
        <w:t>在签订合同前，中选人应按比选申请人须知前附表规定的形式、金额和比选文件第四章“合同条款及格式”规定的或者事先经过比选人书面认可的履约保证金格式向比选人提交履约保证金。联合体中选的，其履约保证金以联合体各方或者联合体中牵头人的名义提交。</w:t>
      </w:r>
    </w:p>
    <w:p w14:paraId="173F5C56">
      <w:pPr>
        <w:pStyle w:val="19"/>
        <w:widowControl/>
        <w:numPr>
          <w:ilvl w:val="0"/>
          <w:numId w:val="47"/>
        </w:numPr>
        <w:tabs>
          <w:tab w:val="left" w:pos="1080"/>
          <w:tab w:val="clear" w:pos="210"/>
        </w:tabs>
        <w:ind w:left="0" w:leftChars="0" w:firstLine="480" w:firstLineChars="200"/>
        <w:rPr>
          <w:rFonts w:hint="eastAsia" w:ascii="宋体" w:hAnsi="宋体" w:eastAsia="宋体" w:cs="宋体"/>
          <w:b w:val="0"/>
          <w:highlight w:val="none"/>
        </w:rPr>
      </w:pPr>
      <w:r>
        <w:rPr>
          <w:highlight w:val="none"/>
        </w:rPr>
        <w:t>中选人不能按本章第 7.7.1 项要求提交履约保证金的，视为放弃中选，其比选保证金不予退还，给比选人造成的损失超过比选保证金数额的，中选人还应当对超过部分予以赔偿。</w:t>
      </w:r>
    </w:p>
    <w:p w14:paraId="3D09B011">
      <w:pPr>
        <w:pStyle w:val="3"/>
        <w:widowControl/>
        <w:numPr>
          <w:ilvl w:val="0"/>
          <w:numId w:val="46"/>
        </w:numPr>
        <w:tabs>
          <w:tab w:val="left" w:pos="900"/>
          <w:tab w:val="clear" w:pos="210"/>
        </w:tabs>
        <w:ind w:left="0" w:leftChars="0" w:firstLine="480" w:firstLineChars="200"/>
        <w:rPr>
          <w:rFonts w:hint="eastAsia" w:ascii="宋体" w:hAnsi="宋体" w:eastAsia="宋体" w:cs="宋体"/>
          <w:b/>
          <w:highlight w:val="none"/>
        </w:rPr>
      </w:pPr>
      <w:r>
        <w:rPr>
          <w:highlight w:val="none"/>
        </w:rPr>
        <w:t>合同签订</w:t>
      </w:r>
    </w:p>
    <w:p w14:paraId="6FBCDE3F">
      <w:pPr>
        <w:pStyle w:val="19"/>
        <w:widowControl/>
        <w:numPr>
          <w:ilvl w:val="0"/>
          <w:numId w:val="48"/>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比选人和中选人应当在中选通知书发出之日起 30 日内，根据比选文件和中选人的比选申请文件订立书面合同。中选人无正当理由拒签合同，在签订合同时向比选人提出附加条件，或者不按照比选文件要求提交履约保证金的，比选人有权取消其中选资格，其比选保证金不予退还；给比选人造成的损失超过比选保证金数额的，中选人还应当对超过部分予以赔偿。</w:t>
      </w:r>
    </w:p>
    <w:p w14:paraId="04DF0027">
      <w:pPr>
        <w:pStyle w:val="19"/>
        <w:widowControl/>
        <w:numPr>
          <w:ilvl w:val="0"/>
          <w:numId w:val="48"/>
        </w:numPr>
        <w:tabs>
          <w:tab w:val="left" w:pos="1080"/>
          <w:tab w:val="clear" w:pos="210"/>
        </w:tabs>
        <w:ind w:left="0" w:leftChars="0" w:firstLine="480" w:firstLineChars="200"/>
        <w:rPr>
          <w:rFonts w:hint="eastAsia" w:ascii="宋体" w:hAnsi="宋体" w:eastAsia="宋体" w:cs="宋体"/>
          <w:b w:val="0"/>
          <w:highlight w:val="none"/>
        </w:rPr>
      </w:pPr>
      <w:r>
        <w:rPr>
          <w:highlight w:val="none"/>
        </w:rPr>
        <w:t>发出中选通知书后，比选人无正当理由拒签合同，或者在签订合同时向中选人提出附加条件的，比选人向中选人退还比选保证金；给中选人造成损失的，还应当赔偿损失。</w:t>
      </w:r>
    </w:p>
    <w:p w14:paraId="604A11A9">
      <w:pPr>
        <w:pStyle w:val="19"/>
        <w:widowControl/>
        <w:numPr>
          <w:ilvl w:val="0"/>
          <w:numId w:val="48"/>
        </w:numPr>
        <w:tabs>
          <w:tab w:val="left" w:pos="1080"/>
          <w:tab w:val="clear" w:pos="210"/>
        </w:tabs>
        <w:ind w:left="0" w:leftChars="0" w:firstLine="480" w:firstLineChars="200"/>
        <w:rPr>
          <w:rFonts w:hint="eastAsia" w:ascii="宋体" w:hAnsi="宋体" w:eastAsia="宋体" w:cs="宋体"/>
          <w:b w:val="0"/>
          <w:highlight w:val="none"/>
        </w:rPr>
      </w:pPr>
      <w:r>
        <w:rPr>
          <w:highlight w:val="none"/>
        </w:rPr>
        <w:t>联合体中选的，联合体各方应当共同与比选人签订合同，就中选项目向比选人承担连带责任。</w:t>
      </w:r>
    </w:p>
    <w:bookmarkEnd w:id="674"/>
    <w:bookmarkEnd w:id="675"/>
    <w:bookmarkEnd w:id="676"/>
    <w:bookmarkEnd w:id="677"/>
    <w:bookmarkEnd w:id="678"/>
    <w:p w14:paraId="04D86690">
      <w:pPr>
        <w:pStyle w:val="2"/>
        <w:widowControl/>
        <w:numPr>
          <w:ilvl w:val="0"/>
          <w:numId w:val="10"/>
        </w:numPr>
        <w:tabs>
          <w:tab w:val="left" w:pos="860"/>
          <w:tab w:val="clear" w:pos="210"/>
        </w:tabs>
        <w:ind w:left="0" w:leftChars="0" w:firstLine="480" w:firstLineChars="200"/>
        <w:rPr>
          <w:b/>
          <w:highlight w:val="none"/>
        </w:rPr>
      </w:pPr>
      <w:bookmarkStart w:id="679" w:name="_Toc526756782"/>
      <w:bookmarkStart w:id="680" w:name="_Toc525056232"/>
      <w:r>
        <w:rPr>
          <w:highlight w:val="none"/>
        </w:rPr>
        <w:t>重新比选和不再</w:t>
      </w:r>
      <w:bookmarkEnd w:id="679"/>
      <w:bookmarkEnd w:id="680"/>
      <w:r>
        <w:rPr>
          <w:highlight w:val="none"/>
        </w:rPr>
        <w:t>比选</w:t>
      </w:r>
    </w:p>
    <w:p w14:paraId="6C298508">
      <w:pPr>
        <w:pStyle w:val="3"/>
        <w:widowControl/>
        <w:numPr>
          <w:ilvl w:val="0"/>
          <w:numId w:val="49"/>
        </w:numPr>
        <w:tabs>
          <w:tab w:val="left" w:pos="900"/>
          <w:tab w:val="clear" w:pos="210"/>
        </w:tabs>
        <w:ind w:left="0" w:leftChars="0" w:firstLine="480" w:firstLineChars="200"/>
        <w:rPr>
          <w:b/>
          <w:highlight w:val="none"/>
        </w:rPr>
      </w:pPr>
      <w:bookmarkStart w:id="681" w:name="_Toc144974540"/>
      <w:bookmarkStart w:id="682" w:name="_Toc321515018"/>
      <w:bookmarkStart w:id="683" w:name="_Toc525056233"/>
      <w:bookmarkStart w:id="684" w:name="_Toc25073272"/>
      <w:bookmarkStart w:id="685" w:name="_Toc320794082"/>
      <w:bookmarkStart w:id="686" w:name="_Toc152042348"/>
      <w:bookmarkStart w:id="687" w:name="_Toc321514574"/>
      <w:bookmarkStart w:id="688" w:name="_Toc152045572"/>
      <w:bookmarkStart w:id="689" w:name="_Toc287907002"/>
      <w:bookmarkStart w:id="690" w:name="_Toc526756783"/>
      <w:bookmarkStart w:id="691" w:name="_Toc321515906"/>
      <w:bookmarkStart w:id="692" w:name="_Toc150512303"/>
      <w:bookmarkStart w:id="693" w:name="_Toc177660961"/>
      <w:r>
        <w:rPr>
          <w:highlight w:val="none"/>
        </w:rPr>
        <w:t>重新</w:t>
      </w:r>
      <w:bookmarkEnd w:id="681"/>
      <w:bookmarkEnd w:id="682"/>
      <w:bookmarkEnd w:id="683"/>
      <w:bookmarkEnd w:id="684"/>
      <w:bookmarkEnd w:id="685"/>
      <w:bookmarkEnd w:id="686"/>
      <w:bookmarkEnd w:id="687"/>
      <w:bookmarkEnd w:id="688"/>
      <w:bookmarkEnd w:id="689"/>
      <w:bookmarkEnd w:id="690"/>
      <w:bookmarkEnd w:id="691"/>
      <w:r>
        <w:rPr>
          <w:highlight w:val="none"/>
        </w:rPr>
        <w:t>比选</w:t>
      </w:r>
      <w:bookmarkEnd w:id="692"/>
      <w:bookmarkEnd w:id="693"/>
    </w:p>
    <w:p w14:paraId="6408C72C">
      <w:pPr>
        <w:pStyle w:val="19"/>
        <w:widowControl/>
        <w:ind w:left="0" w:leftChars="0" w:firstLine="480" w:firstLineChars="200"/>
        <w:rPr>
          <w:highlight w:val="none"/>
        </w:rPr>
      </w:pPr>
      <w:r>
        <w:rPr>
          <w:highlight w:val="none"/>
        </w:rPr>
        <w:t>有下列情形之一的，比选人将重新比选：</w:t>
      </w:r>
    </w:p>
    <w:p w14:paraId="73E06143">
      <w:pPr>
        <w:pStyle w:val="19"/>
        <w:widowControl/>
        <w:numPr>
          <w:ilvl w:val="0"/>
          <w:numId w:val="50"/>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比选申请截止时间止，比选申请人少于3个的；</w:t>
      </w:r>
    </w:p>
    <w:p w14:paraId="357D00EA">
      <w:pPr>
        <w:pStyle w:val="19"/>
        <w:widowControl/>
        <w:numPr>
          <w:ilvl w:val="0"/>
          <w:numId w:val="50"/>
        </w:numPr>
        <w:tabs>
          <w:tab w:val="left" w:pos="1080"/>
        </w:tabs>
        <w:topLinePunct w:val="0"/>
        <w:ind w:left="0" w:leftChars="0" w:firstLine="480" w:firstLineChars="200"/>
        <w:rPr>
          <w:rFonts w:hint="eastAsia" w:ascii="宋体" w:hAnsi="宋体" w:eastAsia="宋体" w:cs="宋体"/>
          <w:b w:val="0"/>
          <w:highlight w:val="none"/>
        </w:rPr>
      </w:pPr>
      <w:r>
        <w:rPr>
          <w:highlight w:val="none"/>
        </w:rPr>
        <w:t xml:space="preserve">经评审委员会评审后否决所有比选申请文件的。                                                                                                                                                                                                                                                         </w:t>
      </w:r>
    </w:p>
    <w:p w14:paraId="6AC293D5">
      <w:pPr>
        <w:pStyle w:val="3"/>
        <w:widowControl/>
        <w:numPr>
          <w:ilvl w:val="0"/>
          <w:numId w:val="49"/>
        </w:numPr>
        <w:tabs>
          <w:tab w:val="left" w:pos="900"/>
          <w:tab w:val="clear" w:pos="210"/>
        </w:tabs>
        <w:ind w:left="0" w:leftChars="0" w:firstLine="480" w:firstLineChars="200"/>
        <w:rPr>
          <w:b/>
          <w:highlight w:val="none"/>
        </w:rPr>
      </w:pPr>
      <w:bookmarkStart w:id="694" w:name="_Toc525056234"/>
      <w:bookmarkStart w:id="695" w:name="_Toc144974541"/>
      <w:bookmarkStart w:id="696" w:name="_Toc152042349"/>
      <w:bookmarkStart w:id="697" w:name="_Toc321515907"/>
      <w:bookmarkStart w:id="698" w:name="_Toc321514575"/>
      <w:bookmarkStart w:id="699" w:name="_Toc320794083"/>
      <w:bookmarkStart w:id="700" w:name="_Toc321515019"/>
      <w:bookmarkStart w:id="701" w:name="_Toc526756784"/>
      <w:bookmarkStart w:id="702" w:name="_Toc152045573"/>
      <w:bookmarkStart w:id="703" w:name="_Toc287907003"/>
      <w:r>
        <w:rPr>
          <w:highlight w:val="none"/>
        </w:rPr>
        <w:t>不再</w:t>
      </w:r>
      <w:bookmarkEnd w:id="694"/>
      <w:bookmarkEnd w:id="695"/>
      <w:bookmarkEnd w:id="696"/>
      <w:bookmarkEnd w:id="697"/>
      <w:bookmarkEnd w:id="698"/>
      <w:bookmarkEnd w:id="699"/>
      <w:bookmarkEnd w:id="700"/>
      <w:bookmarkEnd w:id="701"/>
      <w:bookmarkEnd w:id="702"/>
      <w:bookmarkEnd w:id="703"/>
      <w:r>
        <w:rPr>
          <w:highlight w:val="none"/>
        </w:rPr>
        <w:t>比选</w:t>
      </w:r>
    </w:p>
    <w:p w14:paraId="75D9A4A8">
      <w:pPr>
        <w:pStyle w:val="19"/>
        <w:widowControl/>
        <w:ind w:left="0" w:leftChars="0" w:firstLine="480" w:firstLineChars="200"/>
        <w:rPr>
          <w:highlight w:val="none"/>
        </w:rPr>
      </w:pPr>
      <w:r>
        <w:rPr>
          <w:highlight w:val="none"/>
        </w:rPr>
        <w:t>重新比选后比选申请人仍少于3个或者所有比选被否决的，属于必须审批或核准的项目，经原审批或核准部门批准后不再进行比选。</w:t>
      </w:r>
    </w:p>
    <w:p w14:paraId="508B618F">
      <w:pPr>
        <w:pStyle w:val="2"/>
        <w:widowControl/>
        <w:numPr>
          <w:ilvl w:val="0"/>
          <w:numId w:val="10"/>
        </w:numPr>
        <w:tabs>
          <w:tab w:val="left" w:pos="860"/>
          <w:tab w:val="clear" w:pos="210"/>
        </w:tabs>
        <w:ind w:left="0" w:leftChars="0" w:firstLine="480" w:firstLineChars="200"/>
        <w:rPr>
          <w:b/>
          <w:highlight w:val="none"/>
        </w:rPr>
      </w:pPr>
      <w:bookmarkStart w:id="704" w:name="_Toc526756785"/>
      <w:bookmarkStart w:id="705" w:name="_Toc525056235"/>
      <w:bookmarkStart w:id="706" w:name="_Toc144974542"/>
      <w:bookmarkStart w:id="707" w:name="_Toc321515908"/>
      <w:bookmarkStart w:id="708" w:name="_Toc152042350"/>
      <w:bookmarkStart w:id="709" w:name="_Toc321514576"/>
      <w:bookmarkStart w:id="710" w:name="_Toc152045574"/>
      <w:r>
        <w:rPr>
          <w:highlight w:val="none"/>
        </w:rPr>
        <w:t>纪律和监督</w:t>
      </w:r>
      <w:bookmarkEnd w:id="704"/>
      <w:bookmarkEnd w:id="705"/>
      <w:bookmarkEnd w:id="706"/>
      <w:bookmarkEnd w:id="707"/>
      <w:bookmarkEnd w:id="708"/>
      <w:bookmarkEnd w:id="709"/>
      <w:bookmarkEnd w:id="710"/>
    </w:p>
    <w:p w14:paraId="49DB2A9F">
      <w:pPr>
        <w:pStyle w:val="3"/>
        <w:widowControl/>
        <w:numPr>
          <w:ilvl w:val="0"/>
          <w:numId w:val="51"/>
        </w:numPr>
        <w:tabs>
          <w:tab w:val="left" w:pos="900"/>
          <w:tab w:val="clear" w:pos="210"/>
        </w:tabs>
        <w:ind w:left="0" w:leftChars="0" w:firstLine="480" w:firstLineChars="200"/>
        <w:rPr>
          <w:b/>
          <w:highlight w:val="none"/>
        </w:rPr>
      </w:pPr>
      <w:bookmarkStart w:id="711" w:name="_Toc321514577"/>
      <w:bookmarkStart w:id="712" w:name="_Toc321515021"/>
      <w:bookmarkStart w:id="713" w:name="_Toc152042351"/>
      <w:bookmarkStart w:id="714" w:name="_Toc287907005"/>
      <w:bookmarkStart w:id="715" w:name="_Toc320794085"/>
      <w:bookmarkStart w:id="716" w:name="_Toc321515909"/>
      <w:bookmarkStart w:id="717" w:name="_Toc144974543"/>
      <w:bookmarkStart w:id="718" w:name="_Toc152045575"/>
      <w:bookmarkStart w:id="719" w:name="_Toc525056236"/>
      <w:bookmarkStart w:id="720" w:name="_Toc526756786"/>
      <w:r>
        <w:rPr>
          <w:highlight w:val="none"/>
        </w:rPr>
        <w:t>对比选人的纪律要求</w:t>
      </w:r>
      <w:bookmarkEnd w:id="711"/>
      <w:bookmarkEnd w:id="712"/>
      <w:bookmarkEnd w:id="713"/>
      <w:bookmarkEnd w:id="714"/>
      <w:bookmarkEnd w:id="715"/>
      <w:bookmarkEnd w:id="716"/>
      <w:bookmarkEnd w:id="717"/>
      <w:bookmarkEnd w:id="718"/>
      <w:bookmarkEnd w:id="719"/>
      <w:bookmarkEnd w:id="720"/>
    </w:p>
    <w:p w14:paraId="139ED018">
      <w:pPr>
        <w:pStyle w:val="19"/>
        <w:widowControl/>
        <w:ind w:left="0" w:leftChars="0" w:firstLine="480" w:firstLineChars="200"/>
        <w:rPr>
          <w:highlight w:val="none"/>
        </w:rPr>
      </w:pPr>
      <w:r>
        <w:rPr>
          <w:highlight w:val="none"/>
        </w:rPr>
        <w:t>比选人不得泄漏比选活动中应当保密的情况和资料，不得与比选申请人串通损害国家利益、社会公共利益或者他人合法权益。</w:t>
      </w:r>
    </w:p>
    <w:p w14:paraId="54F3B957">
      <w:pPr>
        <w:pStyle w:val="3"/>
        <w:widowControl/>
        <w:numPr>
          <w:ilvl w:val="0"/>
          <w:numId w:val="51"/>
        </w:numPr>
        <w:tabs>
          <w:tab w:val="left" w:pos="900"/>
          <w:tab w:val="clear" w:pos="210"/>
        </w:tabs>
        <w:ind w:left="0" w:leftChars="0" w:firstLine="480" w:firstLineChars="200"/>
        <w:rPr>
          <w:b/>
          <w:highlight w:val="none"/>
        </w:rPr>
      </w:pPr>
      <w:bookmarkStart w:id="721" w:name="_Toc144974544"/>
      <w:bookmarkStart w:id="722" w:name="_Toc287907006"/>
      <w:bookmarkStart w:id="723" w:name="_Toc525056237"/>
      <w:bookmarkStart w:id="724" w:name="_Toc321514578"/>
      <w:bookmarkStart w:id="725" w:name="_Toc320794086"/>
      <w:bookmarkStart w:id="726" w:name="_Toc321515022"/>
      <w:bookmarkStart w:id="727" w:name="_Toc321515910"/>
      <w:bookmarkStart w:id="728" w:name="_Toc526756787"/>
      <w:bookmarkStart w:id="729" w:name="_Toc152045576"/>
      <w:bookmarkStart w:id="730" w:name="_Toc152042352"/>
      <w:r>
        <w:rPr>
          <w:highlight w:val="none"/>
        </w:rPr>
        <w:t>对比选申请人的纪律要求</w:t>
      </w:r>
      <w:bookmarkEnd w:id="721"/>
      <w:bookmarkEnd w:id="722"/>
      <w:bookmarkEnd w:id="723"/>
      <w:bookmarkEnd w:id="724"/>
      <w:bookmarkEnd w:id="725"/>
      <w:bookmarkEnd w:id="726"/>
      <w:bookmarkEnd w:id="727"/>
      <w:bookmarkEnd w:id="728"/>
      <w:bookmarkEnd w:id="729"/>
      <w:bookmarkEnd w:id="730"/>
    </w:p>
    <w:p w14:paraId="1A3A7C51">
      <w:pPr>
        <w:pStyle w:val="19"/>
        <w:widowControl/>
        <w:ind w:left="0" w:leftChars="0" w:firstLine="480" w:firstLineChars="200"/>
        <w:rPr>
          <w:highlight w:val="none"/>
        </w:rPr>
      </w:pPr>
      <w:r>
        <w:rPr>
          <w:highlight w:val="none"/>
        </w:rPr>
        <w:t>比选申请人不得相互串通比选或者与比选人串通比选，不得向比选人或者评审委员会成员行贿谋取中选，不得以他人名义比选或者以其他方式弄虚作假骗取中选；比选申请人不得以任何方式干扰、影响评审工作。</w:t>
      </w:r>
    </w:p>
    <w:p w14:paraId="6EE75ED7">
      <w:pPr>
        <w:pStyle w:val="3"/>
        <w:widowControl/>
        <w:numPr>
          <w:ilvl w:val="0"/>
          <w:numId w:val="51"/>
        </w:numPr>
        <w:tabs>
          <w:tab w:val="left" w:pos="900"/>
          <w:tab w:val="clear" w:pos="210"/>
        </w:tabs>
        <w:ind w:left="0" w:leftChars="0" w:firstLine="480" w:firstLineChars="200"/>
        <w:rPr>
          <w:b/>
          <w:highlight w:val="none"/>
        </w:rPr>
      </w:pPr>
      <w:bookmarkStart w:id="731" w:name="_Toc287907007"/>
      <w:bookmarkStart w:id="732" w:name="_Toc321515911"/>
      <w:bookmarkStart w:id="733" w:name="_Toc321514579"/>
      <w:bookmarkStart w:id="734" w:name="_Toc321515023"/>
      <w:bookmarkStart w:id="735" w:name="_Toc144974545"/>
      <w:bookmarkStart w:id="736" w:name="_Toc152045577"/>
      <w:bookmarkStart w:id="737" w:name="_Toc320794087"/>
      <w:bookmarkStart w:id="738" w:name="_Toc525056238"/>
      <w:bookmarkStart w:id="739" w:name="_Toc526756788"/>
      <w:bookmarkStart w:id="740" w:name="_Toc152042353"/>
      <w:r>
        <w:rPr>
          <w:highlight w:val="none"/>
        </w:rPr>
        <w:t>对评审委员会成员的纪律要求</w:t>
      </w:r>
      <w:bookmarkEnd w:id="731"/>
      <w:bookmarkEnd w:id="732"/>
      <w:bookmarkEnd w:id="733"/>
      <w:bookmarkEnd w:id="734"/>
      <w:bookmarkEnd w:id="735"/>
      <w:bookmarkEnd w:id="736"/>
      <w:bookmarkEnd w:id="737"/>
      <w:bookmarkEnd w:id="738"/>
      <w:bookmarkEnd w:id="739"/>
      <w:bookmarkEnd w:id="740"/>
    </w:p>
    <w:p w14:paraId="19F7273A">
      <w:pPr>
        <w:pStyle w:val="19"/>
        <w:widowControl/>
        <w:ind w:left="0" w:leftChars="0" w:firstLine="480" w:firstLineChars="200"/>
        <w:rPr>
          <w:highlight w:val="none"/>
        </w:rPr>
      </w:pPr>
      <w:r>
        <w:rPr>
          <w:highlight w:val="none"/>
        </w:rPr>
        <w:t>评审委员会成员不得收受他人的财物或者其他好处，不得向他人透漏对比选申请文件的评审和比较、中选候选人的推荐情况以及评审有关的其他情况。在评审活动中，评审委员会成员不得擅离职守，影响评审程序正常进行，不得使用第三章“评审办法”没有规定的评审因素和标准进行评审。</w:t>
      </w:r>
    </w:p>
    <w:p w14:paraId="6F864732">
      <w:pPr>
        <w:pStyle w:val="3"/>
        <w:widowControl/>
        <w:numPr>
          <w:ilvl w:val="0"/>
          <w:numId w:val="51"/>
        </w:numPr>
        <w:tabs>
          <w:tab w:val="left" w:pos="900"/>
          <w:tab w:val="clear" w:pos="210"/>
        </w:tabs>
        <w:ind w:left="0" w:leftChars="0" w:firstLine="480" w:firstLineChars="200"/>
        <w:rPr>
          <w:b/>
          <w:highlight w:val="none"/>
        </w:rPr>
      </w:pPr>
      <w:bookmarkStart w:id="741" w:name="_Toc321515024"/>
      <w:bookmarkStart w:id="742" w:name="_Toc287907008"/>
      <w:bookmarkStart w:id="743" w:name="_Toc320794088"/>
      <w:bookmarkStart w:id="744" w:name="_Toc321515912"/>
      <w:bookmarkStart w:id="745" w:name="_Toc321514580"/>
      <w:bookmarkStart w:id="746" w:name="_Toc152042354"/>
      <w:bookmarkStart w:id="747" w:name="_Toc525056239"/>
      <w:bookmarkStart w:id="748" w:name="_Toc152045578"/>
      <w:bookmarkStart w:id="749" w:name="_Toc526756789"/>
      <w:bookmarkStart w:id="750" w:name="_Toc144974546"/>
      <w:r>
        <w:rPr>
          <w:highlight w:val="none"/>
        </w:rPr>
        <w:t>对与评审活动有关的工作人员的纪律要求</w:t>
      </w:r>
      <w:bookmarkEnd w:id="741"/>
      <w:bookmarkEnd w:id="742"/>
      <w:bookmarkEnd w:id="743"/>
      <w:bookmarkEnd w:id="744"/>
      <w:bookmarkEnd w:id="745"/>
      <w:bookmarkEnd w:id="746"/>
      <w:bookmarkEnd w:id="747"/>
      <w:bookmarkEnd w:id="748"/>
      <w:bookmarkEnd w:id="749"/>
    </w:p>
    <w:p w14:paraId="653CEB5D">
      <w:pPr>
        <w:pStyle w:val="19"/>
        <w:widowControl/>
        <w:ind w:left="0" w:leftChars="0" w:firstLine="480" w:firstLineChars="200"/>
        <w:rPr>
          <w:highlight w:val="none"/>
        </w:rPr>
      </w:pPr>
      <w:bookmarkStart w:id="751" w:name="_Toc152042355"/>
      <w:r>
        <w:rPr>
          <w:highlight w:val="none"/>
        </w:rPr>
        <w:t>与评审活动有关的工作人员不得收受他人的财物或者其他好处，不得向他人透漏对比选申请文件的评审和比较、中选候选人的推荐情况以及评审有关的其他情况。在评审活动中，与评审活动有关的工作人员不得擅离职守，影响评审程序正常进行。</w:t>
      </w:r>
      <w:bookmarkEnd w:id="751"/>
    </w:p>
    <w:p w14:paraId="1293EE1A">
      <w:pPr>
        <w:pStyle w:val="3"/>
        <w:widowControl/>
        <w:numPr>
          <w:ilvl w:val="0"/>
          <w:numId w:val="51"/>
        </w:numPr>
        <w:tabs>
          <w:tab w:val="left" w:pos="900"/>
          <w:tab w:val="clear" w:pos="210"/>
        </w:tabs>
        <w:ind w:left="0" w:leftChars="0" w:firstLine="480" w:firstLineChars="200"/>
        <w:rPr>
          <w:b/>
          <w:highlight w:val="none"/>
        </w:rPr>
      </w:pPr>
      <w:bookmarkStart w:id="752" w:name="_Toc152045579"/>
      <w:bookmarkStart w:id="753" w:name="_Toc152042356"/>
      <w:bookmarkStart w:id="754" w:name="_Toc321514581"/>
      <w:bookmarkStart w:id="755" w:name="_Toc321515913"/>
      <w:bookmarkStart w:id="756" w:name="_Toc525056240"/>
      <w:bookmarkStart w:id="757" w:name="_Toc526756790"/>
      <w:bookmarkStart w:id="758" w:name="_Toc287907009"/>
      <w:bookmarkStart w:id="759" w:name="_Toc320794089"/>
      <w:bookmarkStart w:id="760" w:name="_Toc321515025"/>
      <w:r>
        <w:rPr>
          <w:highlight w:val="none"/>
        </w:rPr>
        <w:t>投诉</w:t>
      </w:r>
      <w:bookmarkEnd w:id="750"/>
      <w:bookmarkEnd w:id="752"/>
      <w:bookmarkEnd w:id="753"/>
      <w:bookmarkEnd w:id="754"/>
      <w:bookmarkEnd w:id="755"/>
      <w:bookmarkEnd w:id="756"/>
      <w:bookmarkEnd w:id="757"/>
      <w:bookmarkEnd w:id="758"/>
      <w:bookmarkEnd w:id="759"/>
      <w:bookmarkEnd w:id="760"/>
    </w:p>
    <w:p w14:paraId="1C54A5C6">
      <w:pPr>
        <w:pStyle w:val="19"/>
        <w:widowControl/>
        <w:ind w:left="0" w:leftChars="0" w:firstLine="480" w:firstLineChars="200"/>
        <w:rPr>
          <w:highlight w:val="none"/>
        </w:rPr>
      </w:pPr>
      <w:r>
        <w:rPr>
          <w:highlight w:val="none"/>
        </w:rPr>
        <w:t>比选申请人和其他利害关系人认为本次比选活动违反法律、法规和规章规定的，有权向有关行政监督部门投诉。</w:t>
      </w:r>
    </w:p>
    <w:p w14:paraId="003878A9">
      <w:pPr>
        <w:pStyle w:val="2"/>
        <w:widowControl/>
        <w:numPr>
          <w:ilvl w:val="0"/>
          <w:numId w:val="10"/>
        </w:numPr>
        <w:tabs>
          <w:tab w:val="left" w:pos="860"/>
          <w:tab w:val="clear" w:pos="210"/>
        </w:tabs>
        <w:ind w:left="0" w:leftChars="0" w:firstLine="480" w:firstLineChars="200"/>
        <w:rPr>
          <w:b/>
          <w:highlight w:val="none"/>
        </w:rPr>
      </w:pPr>
      <w:bookmarkStart w:id="761" w:name="_Toc152045580"/>
      <w:bookmarkStart w:id="762" w:name="_Toc526756791"/>
      <w:bookmarkStart w:id="763" w:name="_Toc321515914"/>
      <w:bookmarkStart w:id="764" w:name="_Toc144974547"/>
      <w:bookmarkStart w:id="765" w:name="_Toc525056241"/>
      <w:bookmarkStart w:id="766" w:name="_Toc152042357"/>
      <w:bookmarkStart w:id="767" w:name="_Toc321514582"/>
      <w:r>
        <w:rPr>
          <w:highlight w:val="none"/>
        </w:rPr>
        <w:t>需要补充的其他内容</w:t>
      </w:r>
      <w:bookmarkEnd w:id="761"/>
      <w:bookmarkEnd w:id="762"/>
      <w:bookmarkEnd w:id="763"/>
      <w:bookmarkEnd w:id="764"/>
      <w:bookmarkEnd w:id="765"/>
      <w:bookmarkEnd w:id="766"/>
      <w:bookmarkEnd w:id="767"/>
    </w:p>
    <w:p w14:paraId="79F95304">
      <w:pPr>
        <w:pStyle w:val="19"/>
        <w:widowControl/>
        <w:ind w:left="0" w:leftChars="0" w:firstLine="480" w:firstLineChars="200"/>
        <w:rPr>
          <w:highlight w:val="none"/>
        </w:rPr>
      </w:pPr>
      <w:r>
        <w:rPr>
          <w:highlight w:val="none"/>
        </w:rPr>
        <w:t>需要补充的其他内容：见比选申请人须知前附表。</w:t>
      </w:r>
    </w:p>
    <w:p w14:paraId="1CFAC95F">
      <w:pPr>
        <w:spacing w:line="360" w:lineRule="auto"/>
        <w:rPr>
          <w:rFonts w:ascii="宋体" w:hAnsi="宋体"/>
          <w:szCs w:val="21"/>
          <w:highlight w:val="none"/>
        </w:rPr>
      </w:pPr>
      <w:r>
        <w:rPr>
          <w:rFonts w:ascii="宋体" w:hAnsi="宋体"/>
          <w:highlight w:val="none"/>
        </w:rPr>
        <w:br w:type="page"/>
      </w:r>
      <w:bookmarkEnd w:id="92"/>
      <w:bookmarkEnd w:id="93"/>
      <w:bookmarkStart w:id="768" w:name="_Toc219267855"/>
      <w:bookmarkStart w:id="769" w:name="_Toc33284313"/>
      <w:bookmarkStart w:id="770" w:name="_Toc231977629"/>
    </w:p>
    <w:p w14:paraId="56496031">
      <w:pPr>
        <w:pStyle w:val="300"/>
        <w:numPr>
          <w:ilvl w:val="0"/>
          <w:numId w:val="9"/>
        </w:numPr>
        <w:tabs>
          <w:tab w:val="left" w:pos="1600"/>
          <w:tab w:val="clear" w:pos="210"/>
        </w:tabs>
        <w:ind w:left="0" w:leftChars="0" w:firstLine="640" w:firstLineChars="200"/>
        <w:outlineLvl w:val="0"/>
        <w:rPr>
          <w:b w:val="0"/>
          <w:highlight w:val="none"/>
        </w:rPr>
      </w:pPr>
      <w:bookmarkStart w:id="771" w:name="_Toc177660962"/>
      <w:r>
        <w:rPr>
          <w:highlight w:val="none"/>
        </w:rPr>
        <w:t>评审办法</w:t>
      </w:r>
      <w:bookmarkEnd w:id="771"/>
    </w:p>
    <w:bookmarkEnd w:id="768"/>
    <w:bookmarkEnd w:id="769"/>
    <w:bookmarkEnd w:id="770"/>
    <w:p w14:paraId="7E5DB4A1">
      <w:pPr>
        <w:pStyle w:val="301"/>
        <w:widowControl/>
        <w:ind w:left="0" w:leftChars="0" w:firstLine="0" w:firstLineChars="0"/>
        <w:outlineLvl w:val="9"/>
        <w:rPr>
          <w:highlight w:val="none"/>
        </w:rPr>
      </w:pPr>
      <w:bookmarkStart w:id="772" w:name="_Toc252224331"/>
      <w:bookmarkStart w:id="773" w:name="_Toc493516232"/>
      <w:bookmarkStart w:id="774" w:name="_Toc228357632"/>
      <w:bookmarkStart w:id="775" w:name="_Toc237951459"/>
      <w:bookmarkStart w:id="776" w:name="_Toc493515894"/>
      <w:bookmarkStart w:id="777" w:name="_Toc493516044"/>
      <w:bookmarkStart w:id="778" w:name="_Toc190769363"/>
      <w:bookmarkStart w:id="779" w:name="_Toc493516146"/>
      <w:bookmarkStart w:id="780" w:name="_Toc534192209"/>
      <w:r>
        <w:rPr>
          <w:highlight w:val="none"/>
        </w:rPr>
        <w:t>评审办法前附表</w:t>
      </w:r>
    </w:p>
    <w:tbl>
      <w:tblPr>
        <w:tblStyle w:val="53"/>
        <w:tblW w:w="8711" w:type="dxa"/>
        <w:jc w:val="center"/>
        <w:tblLayout w:type="fixed"/>
        <w:tblCellMar>
          <w:top w:w="105" w:type="dxa"/>
          <w:left w:w="105" w:type="dxa"/>
          <w:bottom w:w="105" w:type="dxa"/>
          <w:right w:w="105" w:type="dxa"/>
        </w:tblCellMar>
      </w:tblPr>
      <w:tblGrid>
        <w:gridCol w:w="724"/>
        <w:gridCol w:w="488"/>
        <w:gridCol w:w="1112"/>
        <w:gridCol w:w="6387"/>
      </w:tblGrid>
      <w:tr w14:paraId="29A91FB2">
        <w:trPr>
          <w:trHeight w:val="450"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1F532B">
            <w:pPr>
              <w:pStyle w:val="48"/>
              <w:spacing w:before="0" w:beforeAutospacing="0" w:after="142" w:afterAutospacing="0"/>
              <w:rPr>
                <w:rFonts w:hint="eastAsia" w:cs="宋体"/>
                <w:sz w:val="21"/>
                <w:szCs w:val="21"/>
                <w:highlight w:val="none"/>
              </w:rPr>
            </w:pPr>
            <w:r>
              <w:rPr>
                <w:rFonts w:hint="eastAsia" w:cs="宋体"/>
                <w:sz w:val="21"/>
                <w:szCs w:val="21"/>
                <w:highlight w:val="none"/>
              </w:rPr>
              <w:t>条款号</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B22F51">
            <w:pPr>
              <w:pStyle w:val="48"/>
              <w:spacing w:before="0" w:beforeAutospacing="0" w:after="142" w:afterAutospacing="0"/>
              <w:rPr>
                <w:rFonts w:hint="eastAsia" w:cs="宋体"/>
                <w:sz w:val="21"/>
                <w:szCs w:val="21"/>
                <w:highlight w:val="none"/>
              </w:rPr>
            </w:pPr>
            <w:r>
              <w:rPr>
                <w:rFonts w:hint="eastAsia" w:cs="宋体"/>
                <w:sz w:val="21"/>
                <w:szCs w:val="21"/>
                <w:highlight w:val="none"/>
              </w:rPr>
              <w:t>评审因素</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1FC9A5">
            <w:pPr>
              <w:pStyle w:val="48"/>
              <w:spacing w:before="0" w:beforeAutospacing="0" w:after="142" w:afterAutospacing="0"/>
              <w:rPr>
                <w:rFonts w:hint="eastAsia" w:cs="宋体"/>
                <w:sz w:val="21"/>
                <w:szCs w:val="21"/>
                <w:highlight w:val="none"/>
              </w:rPr>
            </w:pPr>
            <w:r>
              <w:rPr>
                <w:rFonts w:hint="eastAsia" w:cs="宋体"/>
                <w:sz w:val="21"/>
                <w:szCs w:val="21"/>
                <w:highlight w:val="none"/>
              </w:rPr>
              <w:t>评审标准</w:t>
            </w:r>
          </w:p>
        </w:tc>
      </w:tr>
      <w:tr w14:paraId="6BAF8405">
        <w:trPr>
          <w:trHeight w:val="450"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989CF5">
            <w:pPr>
              <w:pStyle w:val="48"/>
              <w:spacing w:before="0" w:beforeAutospacing="0" w:after="142" w:afterAutospacing="0"/>
              <w:jc w:val="center"/>
              <w:rPr>
                <w:rFonts w:hint="eastAsia" w:cs="宋体"/>
                <w:sz w:val="21"/>
                <w:szCs w:val="21"/>
                <w:highlight w:val="none"/>
              </w:rPr>
            </w:pPr>
            <w:r>
              <w:rPr>
                <w:rFonts w:hint="eastAsia" w:cs="宋体"/>
                <w:sz w:val="21"/>
                <w:szCs w:val="21"/>
                <w:highlight w:val="none"/>
              </w:rPr>
              <w:t>1</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FFB14A">
            <w:pPr>
              <w:pStyle w:val="48"/>
              <w:spacing w:before="0" w:beforeAutospacing="0" w:after="142" w:afterAutospacing="0"/>
              <w:jc w:val="center"/>
              <w:rPr>
                <w:rFonts w:hint="eastAsia" w:cs="宋体"/>
                <w:sz w:val="21"/>
                <w:szCs w:val="21"/>
                <w:highlight w:val="none"/>
              </w:rPr>
            </w:pPr>
            <w:r>
              <w:rPr>
                <w:rFonts w:hint="eastAsia" w:cs="宋体"/>
                <w:sz w:val="21"/>
                <w:szCs w:val="21"/>
                <w:highlight w:val="none"/>
              </w:rPr>
              <w:t>评审特别说明</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B7615A9">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1、评审委员会按照比选文件要求进行初步评审和详细评审，形成首次详细评审排名。</w:t>
            </w:r>
          </w:p>
          <w:p w14:paraId="5B0A1B0E">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2、比选对象的确定：按照首次详细评审得分排名前30%的比选申请人获得比选谈判资格，被确定为比选对象。若首次详细评审得分排名前30%的比选申请人不足3人，首次详细评审得分从高到低前3名，被确定为比选对象。</w:t>
            </w:r>
          </w:p>
          <w:p w14:paraId="23452DCA">
            <w:pPr>
              <w:spacing w:line="360" w:lineRule="auto"/>
              <w:ind w:firstLine="420" w:firstLineChars="200"/>
              <w:rPr>
                <w:rFonts w:hint="eastAsia" w:ascii="宋体" w:hAnsi="宋体" w:cs="宋体"/>
                <w:bCs/>
                <w:sz w:val="21"/>
                <w:szCs w:val="21"/>
                <w:highlight w:val="none"/>
                <w:lang w:val="zh-CN"/>
              </w:rPr>
            </w:pPr>
            <w:r>
              <w:rPr>
                <w:rFonts w:hint="eastAsia" w:ascii="宋体" w:hAnsi="宋体" w:cs="宋体"/>
                <w:bCs/>
                <w:sz w:val="21"/>
                <w:szCs w:val="21"/>
                <w:highlight w:val="none"/>
                <w:lang w:val="zh-CN"/>
              </w:rPr>
              <w:t>3、比选谈判：评审委员会所有成员集中与比选对象逐一进行谈判，形成《谈判纪要》。在谈判中，谈判的任何一方不得透露与谈判有关的其他比选对象的价格等信息。</w:t>
            </w:r>
          </w:p>
          <w:p w14:paraId="4EC5A5F9">
            <w:pPr>
              <w:pStyle w:val="48"/>
              <w:spacing w:before="0" w:beforeAutospacing="0" w:after="142" w:afterAutospacing="0" w:line="360" w:lineRule="auto"/>
              <w:ind w:firstLine="420" w:firstLineChars="200"/>
              <w:rPr>
                <w:rFonts w:hint="eastAsia" w:cs="宋体"/>
                <w:sz w:val="21"/>
                <w:szCs w:val="21"/>
                <w:highlight w:val="none"/>
              </w:rPr>
            </w:pPr>
            <w:r>
              <w:rPr>
                <w:rFonts w:hint="eastAsia" w:cs="宋体"/>
                <w:bCs/>
                <w:sz w:val="21"/>
                <w:szCs w:val="21"/>
                <w:highlight w:val="none"/>
                <w:lang w:val="zh-CN"/>
              </w:rPr>
              <w:t>4、最后报价和最终评分：评比结束后，评审委员会应当要求所有参加谈判的比选对象在规定时间内进行最后报价。评审委员会根据比选规则和比选对象最后报价进行最终评审，将比选对象最后报价替换首次详细评审的首次报价得出最终报价得分，其他评分项不变，进行最终评分。形成评审报告，确定中选候选人排名。</w:t>
            </w:r>
          </w:p>
        </w:tc>
      </w:tr>
      <w:tr w14:paraId="77F7A712">
        <w:trPr>
          <w:jc w:val="center"/>
        </w:trPr>
        <w:tc>
          <w:tcPr>
            <w:tcW w:w="724"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649B6A75">
            <w:pPr>
              <w:pStyle w:val="48"/>
              <w:spacing w:before="0" w:beforeAutospacing="0" w:after="142" w:afterAutospacing="0"/>
              <w:rPr>
                <w:rFonts w:hint="eastAsia" w:cs="宋体"/>
                <w:sz w:val="21"/>
                <w:szCs w:val="21"/>
                <w:highlight w:val="none"/>
              </w:rPr>
            </w:pPr>
            <w:r>
              <w:rPr>
                <w:rFonts w:hint="eastAsia" w:cs="宋体"/>
                <w:sz w:val="21"/>
                <w:szCs w:val="21"/>
                <w:highlight w:val="none"/>
              </w:rPr>
              <w:t>2.1.1</w:t>
            </w:r>
          </w:p>
        </w:tc>
        <w:tc>
          <w:tcPr>
            <w:tcW w:w="488" w:type="dxa"/>
            <w:vMerge w:val="restart"/>
            <w:tcBorders>
              <w:top w:val="single" w:color="000000" w:sz="6" w:space="0"/>
              <w:left w:val="single" w:color="000000" w:sz="6" w:space="0"/>
              <w:right w:val="single" w:color="000000" w:sz="6" w:space="0"/>
            </w:tcBorders>
            <w:noWrap w:val="0"/>
            <w:tcMar>
              <w:top w:w="0" w:type="dxa"/>
              <w:left w:w="108" w:type="dxa"/>
              <w:bottom w:w="0" w:type="dxa"/>
              <w:right w:w="108" w:type="dxa"/>
            </w:tcMar>
            <w:vAlign w:val="center"/>
          </w:tcPr>
          <w:p w14:paraId="44FD46EC">
            <w:pPr>
              <w:pStyle w:val="48"/>
              <w:spacing w:before="0" w:beforeAutospacing="0" w:after="142" w:afterAutospacing="0"/>
              <w:rPr>
                <w:rFonts w:hint="eastAsia" w:cs="宋体"/>
                <w:sz w:val="21"/>
                <w:szCs w:val="21"/>
                <w:highlight w:val="none"/>
              </w:rPr>
            </w:pPr>
            <w:r>
              <w:rPr>
                <w:rFonts w:hint="eastAsia" w:cs="宋体"/>
                <w:sz w:val="21"/>
                <w:szCs w:val="21"/>
                <w:highlight w:val="none"/>
              </w:rPr>
              <w:t>资格评审标准</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6B4EBB6">
            <w:pPr>
              <w:pStyle w:val="48"/>
              <w:spacing w:before="0" w:beforeAutospacing="0" w:after="142" w:afterAutospacing="0"/>
              <w:jc w:val="center"/>
              <w:rPr>
                <w:rFonts w:hint="eastAsia" w:cs="宋体"/>
                <w:sz w:val="21"/>
                <w:szCs w:val="21"/>
                <w:highlight w:val="none"/>
              </w:rPr>
            </w:pPr>
            <w:r>
              <w:rPr>
                <w:rFonts w:hint="eastAsia" w:cs="宋体"/>
                <w:sz w:val="21"/>
                <w:szCs w:val="21"/>
                <w:highlight w:val="none"/>
              </w:rPr>
              <w:t>道路运输经营许可证</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93F0462">
            <w:pPr>
              <w:pStyle w:val="48"/>
              <w:spacing w:before="0" w:beforeAutospacing="0" w:after="142" w:afterAutospacing="0"/>
              <w:rPr>
                <w:rFonts w:hint="eastAsia" w:eastAsia="宋体" w:cs="宋体"/>
                <w:sz w:val="21"/>
                <w:szCs w:val="21"/>
                <w:highlight w:val="none"/>
                <w:lang w:eastAsia="zh-CN"/>
              </w:rPr>
            </w:pPr>
            <w:r>
              <w:rPr>
                <w:rFonts w:hint="eastAsia" w:cs="宋体"/>
                <w:sz w:val="21"/>
                <w:szCs w:val="21"/>
                <w:highlight w:val="none"/>
              </w:rPr>
              <w:t>具有有效的道路运输经营许可证</w:t>
            </w:r>
            <w:r>
              <w:rPr>
                <w:rFonts w:hint="eastAsia" w:cs="宋体"/>
                <w:sz w:val="21"/>
                <w:szCs w:val="21"/>
                <w:highlight w:val="none"/>
                <w:lang w:eastAsia="zh-CN"/>
              </w:rPr>
              <w:t>。</w:t>
            </w:r>
          </w:p>
        </w:tc>
      </w:tr>
      <w:tr w14:paraId="6264E2C4">
        <w:trPr>
          <w:jc w:val="center"/>
        </w:trPr>
        <w:tc>
          <w:tcPr>
            <w:tcW w:w="724"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4EA7246F">
            <w:pPr>
              <w:rPr>
                <w:rFonts w:hint="eastAsia" w:ascii="宋体" w:hAnsi="宋体" w:cs="宋体"/>
                <w:sz w:val="21"/>
                <w:szCs w:val="21"/>
                <w:highlight w:val="none"/>
              </w:rPr>
            </w:pPr>
          </w:p>
        </w:tc>
        <w:tc>
          <w:tcPr>
            <w:tcW w:w="488"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77D70716">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3D198C8">
            <w:pPr>
              <w:pStyle w:val="48"/>
              <w:spacing w:before="0" w:beforeAutospacing="0" w:after="142" w:afterAutospacing="0"/>
              <w:jc w:val="center"/>
              <w:rPr>
                <w:rFonts w:hint="eastAsia" w:cs="宋体"/>
                <w:sz w:val="21"/>
                <w:szCs w:val="21"/>
                <w:highlight w:val="none"/>
                <w:lang w:eastAsia="zh-CN"/>
              </w:rPr>
            </w:pPr>
            <w:r>
              <w:rPr>
                <w:rFonts w:hint="eastAsia" w:cs="宋体"/>
                <w:sz w:val="21"/>
                <w:szCs w:val="21"/>
                <w:highlight w:val="none"/>
                <w:lang w:eastAsia="zh-CN"/>
              </w:rPr>
              <w:t>业绩</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64953">
            <w:pPr>
              <w:pStyle w:val="48"/>
              <w:spacing w:before="0" w:beforeAutospacing="0" w:after="142" w:afterAutospacing="0"/>
              <w:rPr>
                <w:rFonts w:hint="eastAsia" w:cs="宋体"/>
                <w:sz w:val="21"/>
                <w:szCs w:val="21"/>
                <w:highlight w:val="none"/>
              </w:rPr>
            </w:pPr>
            <w:bookmarkStart w:id="781" w:name="OLE_LINK16"/>
            <w:r>
              <w:rPr>
                <w:rFonts w:hint="eastAsia" w:cs="宋体"/>
                <w:sz w:val="21"/>
                <w:szCs w:val="21"/>
                <w:highlight w:val="none"/>
                <w:lang w:val="en-US" w:eastAsia="zh-CN"/>
              </w:rPr>
              <w:t>2025年1月1日以来具有三个类似业绩，类似业绩是指</w:t>
            </w:r>
            <w:bookmarkEnd w:id="781"/>
            <w:r>
              <w:rPr>
                <w:rFonts w:hint="eastAsia" w:cs="宋体"/>
                <w:sz w:val="21"/>
                <w:szCs w:val="21"/>
                <w:highlight w:val="none"/>
                <w:lang w:val="en-US" w:eastAsia="zh-CN"/>
              </w:rPr>
              <w:t>运输服务业绩。</w:t>
            </w:r>
          </w:p>
        </w:tc>
      </w:tr>
      <w:tr w14:paraId="477411F0">
        <w:trPr>
          <w:jc w:val="center"/>
        </w:trPr>
        <w:tc>
          <w:tcPr>
            <w:tcW w:w="724"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497A8278">
            <w:pPr>
              <w:rPr>
                <w:rFonts w:hint="eastAsia" w:ascii="宋体" w:hAnsi="宋体" w:cs="宋体"/>
                <w:sz w:val="21"/>
                <w:szCs w:val="21"/>
                <w:highlight w:val="none"/>
              </w:rPr>
            </w:pPr>
          </w:p>
        </w:tc>
        <w:tc>
          <w:tcPr>
            <w:tcW w:w="488"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46D8078A">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762BB57">
            <w:pPr>
              <w:pStyle w:val="48"/>
              <w:spacing w:before="0" w:beforeAutospacing="0" w:after="142" w:afterAutospacing="0"/>
              <w:rPr>
                <w:rFonts w:hint="eastAsia" w:cs="宋体"/>
                <w:sz w:val="21"/>
                <w:szCs w:val="21"/>
                <w:highlight w:val="none"/>
              </w:rPr>
            </w:pPr>
            <w:r>
              <w:rPr>
                <w:rFonts w:hint="eastAsia" w:cs="宋体"/>
                <w:sz w:val="21"/>
                <w:szCs w:val="21"/>
                <w:highlight w:val="none"/>
              </w:rPr>
              <w:t>比选申请人资质条件、能力和信誉</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F49FFD5">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符合第二章“比选申请人须知前附表”第1.4.1 项规定（注：除第6条要求的特定资格提供相应证书外，其余资格条件以承诺函形式进行响应，格式详见第六章）</w:t>
            </w:r>
          </w:p>
        </w:tc>
      </w:tr>
      <w:tr w14:paraId="3EF305F8">
        <w:trPr>
          <w:jc w:val="center"/>
        </w:trPr>
        <w:tc>
          <w:tcPr>
            <w:tcW w:w="724"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671618ED">
            <w:pPr>
              <w:rPr>
                <w:rFonts w:hint="eastAsia" w:ascii="宋体" w:hAnsi="宋体" w:cs="宋体"/>
                <w:sz w:val="21"/>
                <w:szCs w:val="21"/>
                <w:highlight w:val="none"/>
              </w:rPr>
            </w:pPr>
          </w:p>
        </w:tc>
        <w:tc>
          <w:tcPr>
            <w:tcW w:w="488"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1EB2AA4C">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C3CCC1">
            <w:pPr>
              <w:pStyle w:val="48"/>
              <w:spacing w:before="0" w:beforeAutospacing="0" w:after="142" w:afterAutospacing="0"/>
              <w:rPr>
                <w:rFonts w:hint="eastAsia" w:cs="宋体"/>
                <w:sz w:val="21"/>
                <w:szCs w:val="21"/>
                <w:highlight w:val="none"/>
              </w:rPr>
            </w:pPr>
            <w:r>
              <w:rPr>
                <w:rFonts w:hint="eastAsia" w:cs="宋体"/>
                <w:sz w:val="21"/>
                <w:szCs w:val="21"/>
                <w:highlight w:val="none"/>
              </w:rPr>
              <w:t>联合体参选</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816D3D">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符合第二章“比选申请人须知前附表”第1.4.2 项规定</w:t>
            </w:r>
          </w:p>
        </w:tc>
      </w:tr>
      <w:tr w14:paraId="38F5A7AD">
        <w:trPr>
          <w:jc w:val="center"/>
        </w:trPr>
        <w:tc>
          <w:tcPr>
            <w:tcW w:w="724"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0B84AD63">
            <w:pPr>
              <w:rPr>
                <w:rFonts w:hint="eastAsia" w:ascii="宋体" w:hAnsi="宋体" w:cs="宋体"/>
                <w:sz w:val="21"/>
                <w:szCs w:val="21"/>
                <w:highlight w:val="none"/>
              </w:rPr>
            </w:pPr>
          </w:p>
        </w:tc>
        <w:tc>
          <w:tcPr>
            <w:tcW w:w="488" w:type="dxa"/>
            <w:vMerge w:val="continue"/>
            <w:tcBorders>
              <w:left w:val="single" w:color="000000" w:sz="6" w:space="0"/>
              <w:right w:val="single" w:color="000000" w:sz="6" w:space="0"/>
            </w:tcBorders>
            <w:noWrap w:val="0"/>
            <w:tcMar>
              <w:top w:w="0" w:type="dxa"/>
              <w:left w:w="108" w:type="dxa"/>
              <w:bottom w:w="0" w:type="dxa"/>
              <w:right w:w="108" w:type="dxa"/>
            </w:tcMar>
            <w:vAlign w:val="center"/>
          </w:tcPr>
          <w:p w14:paraId="6B27F7F4">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F6386B2">
            <w:pPr>
              <w:pStyle w:val="48"/>
              <w:spacing w:before="0" w:beforeAutospacing="0" w:after="142" w:afterAutospacing="0"/>
              <w:rPr>
                <w:rFonts w:hint="eastAsia" w:cs="宋体"/>
                <w:sz w:val="21"/>
                <w:szCs w:val="21"/>
                <w:highlight w:val="none"/>
              </w:rPr>
            </w:pPr>
            <w:r>
              <w:rPr>
                <w:rFonts w:hint="eastAsia" w:cs="宋体"/>
                <w:sz w:val="21"/>
                <w:szCs w:val="21"/>
                <w:highlight w:val="none"/>
              </w:rPr>
              <w:t>比选要求</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878ACA">
            <w:pPr>
              <w:pStyle w:val="48"/>
              <w:spacing w:before="0" w:beforeAutospacing="0" w:after="142" w:afterAutospacing="0"/>
              <w:rPr>
                <w:rFonts w:hint="eastAsia" w:cs="宋体"/>
                <w:sz w:val="21"/>
                <w:szCs w:val="21"/>
                <w:highlight w:val="none"/>
              </w:rPr>
            </w:pPr>
            <w:r>
              <w:rPr>
                <w:rFonts w:hint="eastAsia" w:cs="宋体"/>
                <w:sz w:val="21"/>
                <w:szCs w:val="21"/>
                <w:highlight w:val="none"/>
              </w:rPr>
              <w:t>不存在第三章第3.1.2项任何一种情形之一</w:t>
            </w:r>
          </w:p>
        </w:tc>
      </w:tr>
      <w:tr w14:paraId="427BF848">
        <w:trPr>
          <w:jc w:val="center"/>
        </w:trPr>
        <w:tc>
          <w:tcPr>
            <w:tcW w:w="724" w:type="dxa"/>
            <w:vMerge w:val="continue"/>
            <w:tcBorders>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16BCDD">
            <w:pPr>
              <w:rPr>
                <w:rFonts w:hint="eastAsia" w:ascii="宋体" w:hAnsi="宋体" w:cs="宋体"/>
                <w:sz w:val="21"/>
                <w:szCs w:val="21"/>
                <w:highlight w:val="none"/>
              </w:rPr>
            </w:pPr>
          </w:p>
        </w:tc>
        <w:tc>
          <w:tcPr>
            <w:tcW w:w="488" w:type="dxa"/>
            <w:vMerge w:val="continue"/>
            <w:tcBorders>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779A62">
            <w:pPr>
              <w:rPr>
                <w:rFonts w:hint="eastAsia" w:ascii="宋体" w:hAnsi="宋体" w:cs="宋体"/>
                <w:sz w:val="21"/>
                <w:szCs w:val="21"/>
                <w:highlight w:val="none"/>
              </w:rPr>
            </w:pPr>
          </w:p>
        </w:tc>
        <w:tc>
          <w:tcPr>
            <w:tcW w:w="7499"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16A170">
            <w:pPr>
              <w:pStyle w:val="48"/>
              <w:spacing w:before="0" w:beforeAutospacing="0" w:after="142" w:afterAutospacing="0"/>
              <w:rPr>
                <w:rFonts w:hint="eastAsia" w:cs="宋体"/>
                <w:sz w:val="21"/>
                <w:szCs w:val="21"/>
                <w:highlight w:val="none"/>
              </w:rPr>
            </w:pPr>
            <w:r>
              <w:rPr>
                <w:rFonts w:hint="eastAsia" w:cs="宋体"/>
                <w:b/>
                <w:bCs/>
                <w:sz w:val="21"/>
                <w:szCs w:val="21"/>
                <w:highlight w:val="none"/>
              </w:rPr>
              <w:t>以上评审有一条不通过，则视为资格评审标准不通过，不进入下一步评审，应当否决其比选。</w:t>
            </w:r>
          </w:p>
        </w:tc>
      </w:tr>
      <w:tr w14:paraId="097E1BC2">
        <w:trPr>
          <w:jc w:val="center"/>
        </w:trPr>
        <w:tc>
          <w:tcPr>
            <w:tcW w:w="724"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05A453">
            <w:pPr>
              <w:pStyle w:val="48"/>
              <w:spacing w:before="0" w:beforeAutospacing="0" w:after="142" w:afterAutospacing="0"/>
              <w:rPr>
                <w:rFonts w:hint="eastAsia" w:cs="宋体"/>
                <w:sz w:val="21"/>
                <w:szCs w:val="21"/>
                <w:highlight w:val="none"/>
              </w:rPr>
            </w:pPr>
            <w:r>
              <w:rPr>
                <w:rFonts w:hint="eastAsia" w:cs="宋体"/>
                <w:sz w:val="21"/>
                <w:szCs w:val="21"/>
                <w:highlight w:val="none"/>
              </w:rPr>
              <w:t>2.1.2</w:t>
            </w:r>
          </w:p>
        </w:tc>
        <w:tc>
          <w:tcPr>
            <w:tcW w:w="488"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0CC032">
            <w:pPr>
              <w:pStyle w:val="48"/>
              <w:spacing w:before="0" w:beforeAutospacing="0" w:after="0" w:afterAutospacing="0"/>
              <w:rPr>
                <w:rFonts w:hint="eastAsia" w:cs="宋体"/>
                <w:sz w:val="21"/>
                <w:szCs w:val="21"/>
                <w:highlight w:val="none"/>
              </w:rPr>
            </w:pPr>
            <w:r>
              <w:rPr>
                <w:rFonts w:hint="eastAsia" w:cs="宋体"/>
                <w:sz w:val="21"/>
                <w:szCs w:val="21"/>
                <w:highlight w:val="none"/>
              </w:rPr>
              <w:t>形</w:t>
            </w:r>
          </w:p>
          <w:p w14:paraId="16630853">
            <w:pPr>
              <w:pStyle w:val="48"/>
              <w:spacing w:before="0" w:beforeAutospacing="0" w:after="0" w:afterAutospacing="0"/>
              <w:rPr>
                <w:rFonts w:hint="eastAsia" w:cs="宋体"/>
                <w:sz w:val="21"/>
                <w:szCs w:val="21"/>
                <w:highlight w:val="none"/>
              </w:rPr>
            </w:pPr>
            <w:r>
              <w:rPr>
                <w:rFonts w:hint="eastAsia" w:cs="宋体"/>
                <w:sz w:val="21"/>
                <w:szCs w:val="21"/>
                <w:highlight w:val="none"/>
              </w:rPr>
              <w:t>式</w:t>
            </w:r>
          </w:p>
          <w:p w14:paraId="72F120C5">
            <w:pPr>
              <w:pStyle w:val="48"/>
              <w:spacing w:before="0" w:beforeAutospacing="0" w:after="0" w:afterAutospacing="0"/>
              <w:rPr>
                <w:rFonts w:hint="eastAsia" w:cs="宋体"/>
                <w:sz w:val="21"/>
                <w:szCs w:val="21"/>
                <w:highlight w:val="none"/>
              </w:rPr>
            </w:pPr>
            <w:r>
              <w:rPr>
                <w:rFonts w:hint="eastAsia" w:cs="宋体"/>
                <w:sz w:val="21"/>
                <w:szCs w:val="21"/>
                <w:highlight w:val="none"/>
              </w:rPr>
              <w:t>评</w:t>
            </w:r>
          </w:p>
          <w:p w14:paraId="6431CE22">
            <w:pPr>
              <w:pStyle w:val="48"/>
              <w:spacing w:before="0" w:beforeAutospacing="0" w:after="0" w:afterAutospacing="0"/>
              <w:rPr>
                <w:rFonts w:hint="eastAsia" w:cs="宋体"/>
                <w:sz w:val="21"/>
                <w:szCs w:val="21"/>
                <w:highlight w:val="none"/>
              </w:rPr>
            </w:pPr>
            <w:r>
              <w:rPr>
                <w:rFonts w:hint="eastAsia" w:cs="宋体"/>
                <w:sz w:val="21"/>
                <w:szCs w:val="21"/>
                <w:highlight w:val="none"/>
              </w:rPr>
              <w:t>审</w:t>
            </w:r>
          </w:p>
          <w:p w14:paraId="290CF0B8">
            <w:pPr>
              <w:pStyle w:val="48"/>
              <w:spacing w:before="0" w:beforeAutospacing="0" w:after="0" w:afterAutospacing="0"/>
              <w:rPr>
                <w:rFonts w:hint="eastAsia" w:cs="宋体"/>
                <w:sz w:val="21"/>
                <w:szCs w:val="21"/>
                <w:highlight w:val="none"/>
              </w:rPr>
            </w:pPr>
            <w:r>
              <w:rPr>
                <w:rFonts w:hint="eastAsia" w:cs="宋体"/>
                <w:sz w:val="21"/>
                <w:szCs w:val="21"/>
                <w:highlight w:val="none"/>
              </w:rPr>
              <w:t>标</w:t>
            </w:r>
          </w:p>
          <w:p w14:paraId="02A4BB02">
            <w:pPr>
              <w:pStyle w:val="48"/>
              <w:spacing w:before="0" w:beforeAutospacing="0" w:after="142" w:afterAutospacing="0"/>
              <w:rPr>
                <w:rFonts w:hint="eastAsia" w:cs="宋体"/>
                <w:sz w:val="21"/>
                <w:szCs w:val="21"/>
                <w:highlight w:val="none"/>
              </w:rPr>
            </w:pPr>
            <w:r>
              <w:rPr>
                <w:rFonts w:hint="eastAsia" w:cs="宋体"/>
                <w:sz w:val="21"/>
                <w:szCs w:val="21"/>
                <w:highlight w:val="none"/>
              </w:rPr>
              <w:t>准</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6D4764">
            <w:pPr>
              <w:pStyle w:val="48"/>
              <w:spacing w:before="0" w:beforeAutospacing="0" w:after="142" w:afterAutospacing="0"/>
              <w:rPr>
                <w:rFonts w:hint="eastAsia" w:cs="宋体"/>
                <w:sz w:val="21"/>
                <w:szCs w:val="21"/>
                <w:highlight w:val="none"/>
              </w:rPr>
            </w:pPr>
            <w:r>
              <w:rPr>
                <w:rFonts w:hint="eastAsia" w:cs="宋体"/>
                <w:sz w:val="21"/>
                <w:szCs w:val="21"/>
                <w:highlight w:val="none"/>
              </w:rPr>
              <w:t>比选申请人名称</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86CB63">
            <w:pPr>
              <w:pStyle w:val="48"/>
              <w:spacing w:before="0" w:beforeAutospacing="0" w:after="142" w:afterAutospacing="0"/>
              <w:rPr>
                <w:rFonts w:hint="eastAsia" w:cs="宋体"/>
                <w:sz w:val="21"/>
                <w:szCs w:val="21"/>
                <w:highlight w:val="none"/>
              </w:rPr>
            </w:pPr>
            <w:r>
              <w:rPr>
                <w:rFonts w:hint="eastAsia" w:cs="宋体"/>
                <w:sz w:val="21"/>
                <w:szCs w:val="21"/>
                <w:highlight w:val="none"/>
              </w:rPr>
              <w:t>与</w:t>
            </w:r>
            <w:r>
              <w:rPr>
                <w:rFonts w:hint="eastAsia" w:cs="宋体"/>
                <w:sz w:val="21"/>
                <w:szCs w:val="21"/>
                <w:highlight w:val="none"/>
                <w:lang w:eastAsia="zh-CN"/>
              </w:rPr>
              <w:t>营业执照</w:t>
            </w:r>
            <w:r>
              <w:rPr>
                <w:rFonts w:hint="eastAsia" w:cs="宋体"/>
                <w:sz w:val="21"/>
                <w:szCs w:val="21"/>
                <w:highlight w:val="none"/>
              </w:rPr>
              <w:t>一致。</w:t>
            </w:r>
          </w:p>
        </w:tc>
      </w:tr>
      <w:tr w14:paraId="23749FAB">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898BC0">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DF5F084">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1C440F">
            <w:pPr>
              <w:pStyle w:val="48"/>
              <w:spacing w:before="0" w:beforeAutospacing="0" w:after="142" w:afterAutospacing="0"/>
              <w:rPr>
                <w:rFonts w:hint="eastAsia" w:cs="宋体"/>
                <w:sz w:val="21"/>
                <w:szCs w:val="21"/>
                <w:highlight w:val="none"/>
              </w:rPr>
            </w:pPr>
            <w:r>
              <w:rPr>
                <w:rFonts w:hint="eastAsia" w:cs="宋体"/>
                <w:sz w:val="21"/>
                <w:szCs w:val="21"/>
                <w:highlight w:val="none"/>
              </w:rPr>
              <w:t>签字、盖章要求</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586571">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符合第二章“比选申请人须知前附表”第3.7.3 （1）项要求</w:t>
            </w:r>
          </w:p>
        </w:tc>
      </w:tr>
      <w:tr w14:paraId="5979A753">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26AB5A">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A96EF0">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F2CABC">
            <w:pPr>
              <w:pStyle w:val="48"/>
              <w:spacing w:before="0" w:beforeAutospacing="0" w:after="142" w:afterAutospacing="0"/>
              <w:rPr>
                <w:rFonts w:hint="eastAsia" w:cs="宋体"/>
                <w:sz w:val="21"/>
                <w:szCs w:val="21"/>
                <w:highlight w:val="none"/>
              </w:rPr>
            </w:pPr>
            <w:r>
              <w:rPr>
                <w:rFonts w:hint="eastAsia" w:cs="宋体"/>
                <w:sz w:val="21"/>
                <w:szCs w:val="21"/>
                <w:highlight w:val="none"/>
              </w:rPr>
              <w:t>比选申请文件份数</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14D33F">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符合第二章“比选申请人须知前附表”第3.7.3 （2）项要求</w:t>
            </w:r>
          </w:p>
        </w:tc>
      </w:tr>
      <w:tr w14:paraId="1EA1C344">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790698C">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E18F33">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2B44B2">
            <w:pPr>
              <w:pStyle w:val="48"/>
              <w:spacing w:before="0" w:beforeAutospacing="0" w:after="142" w:afterAutospacing="0"/>
              <w:rPr>
                <w:rFonts w:hint="eastAsia" w:cs="宋体"/>
                <w:sz w:val="21"/>
                <w:szCs w:val="21"/>
                <w:highlight w:val="none"/>
              </w:rPr>
            </w:pPr>
            <w:r>
              <w:rPr>
                <w:rFonts w:hint="eastAsia" w:cs="宋体"/>
                <w:sz w:val="21"/>
                <w:szCs w:val="21"/>
                <w:highlight w:val="none"/>
              </w:rPr>
              <w:t>比选申请文件格式</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A6E176">
            <w:pPr>
              <w:pStyle w:val="48"/>
              <w:spacing w:before="0" w:beforeAutospacing="0" w:after="142" w:afterAutospacing="0"/>
              <w:rPr>
                <w:rFonts w:hint="eastAsia" w:cs="宋体"/>
                <w:sz w:val="21"/>
                <w:szCs w:val="21"/>
                <w:highlight w:val="none"/>
              </w:rPr>
            </w:pPr>
            <w:r>
              <w:rPr>
                <w:rFonts w:hint="eastAsia" w:cs="宋体"/>
                <w:sz w:val="21"/>
                <w:szCs w:val="21"/>
                <w:highlight w:val="none"/>
              </w:rPr>
              <w:t>符合第六章“比选申请文件格式”的要求和符合第二章“比选申请人须知前附表”第3.7.1 项要求</w:t>
            </w:r>
          </w:p>
        </w:tc>
      </w:tr>
      <w:tr w14:paraId="32517468">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C06B4E">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92B5D7">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90AF7C">
            <w:pPr>
              <w:pStyle w:val="48"/>
              <w:spacing w:before="0" w:beforeAutospacing="0" w:after="142" w:afterAutospacing="0"/>
              <w:rPr>
                <w:rFonts w:hint="eastAsia" w:cs="宋体"/>
                <w:sz w:val="21"/>
                <w:szCs w:val="21"/>
                <w:highlight w:val="none"/>
              </w:rPr>
            </w:pPr>
            <w:r>
              <w:rPr>
                <w:rFonts w:hint="eastAsia" w:cs="宋体"/>
                <w:sz w:val="21"/>
                <w:szCs w:val="21"/>
                <w:highlight w:val="none"/>
              </w:rPr>
              <w:t>备选比选申请方案</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2C8EC7">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符合第二章“比选申请人须知前附表”第3.6.1项要求</w:t>
            </w:r>
          </w:p>
        </w:tc>
      </w:tr>
      <w:tr w14:paraId="78DBC5B5">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F7E6FC6">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1B5208">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F19A3E9">
            <w:pPr>
              <w:pStyle w:val="48"/>
              <w:spacing w:before="0" w:beforeAutospacing="0" w:after="142" w:afterAutospacing="0"/>
              <w:rPr>
                <w:rFonts w:hint="eastAsia" w:cs="宋体"/>
                <w:sz w:val="21"/>
                <w:szCs w:val="21"/>
                <w:highlight w:val="none"/>
              </w:rPr>
            </w:pPr>
            <w:r>
              <w:rPr>
                <w:rFonts w:hint="eastAsia" w:cs="宋体"/>
                <w:sz w:val="21"/>
                <w:szCs w:val="21"/>
                <w:highlight w:val="none"/>
              </w:rPr>
              <w:t>报价唯一</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5B77136">
            <w:pPr>
              <w:pStyle w:val="48"/>
              <w:spacing w:before="0" w:beforeAutospacing="0" w:after="142" w:afterAutospacing="0"/>
              <w:rPr>
                <w:rFonts w:hint="eastAsia" w:cs="宋体"/>
                <w:sz w:val="21"/>
                <w:szCs w:val="21"/>
                <w:highlight w:val="none"/>
              </w:rPr>
            </w:pPr>
            <w:r>
              <w:rPr>
                <w:rFonts w:hint="eastAsia" w:cs="宋体"/>
                <w:sz w:val="21"/>
                <w:szCs w:val="21"/>
                <w:highlight w:val="none"/>
              </w:rPr>
              <w:t>只能有一个有效报价，即符合第二章“比选申请人须知前附表”第10.3款要求</w:t>
            </w:r>
          </w:p>
        </w:tc>
      </w:tr>
      <w:tr w14:paraId="25E8FACB">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C3647F">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187A722">
            <w:pPr>
              <w:rPr>
                <w:rFonts w:hint="eastAsia" w:ascii="宋体" w:hAnsi="宋体" w:cs="宋体"/>
                <w:sz w:val="21"/>
                <w:szCs w:val="21"/>
                <w:highlight w:val="none"/>
              </w:rPr>
            </w:pPr>
          </w:p>
        </w:tc>
        <w:tc>
          <w:tcPr>
            <w:tcW w:w="7499"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511E26C">
            <w:pPr>
              <w:pStyle w:val="48"/>
              <w:spacing w:before="0" w:beforeAutospacing="0" w:after="142" w:afterAutospacing="0"/>
              <w:rPr>
                <w:rFonts w:hint="eastAsia" w:cs="宋体"/>
                <w:sz w:val="21"/>
                <w:szCs w:val="21"/>
                <w:highlight w:val="none"/>
              </w:rPr>
            </w:pPr>
            <w:r>
              <w:rPr>
                <w:rFonts w:hint="eastAsia" w:cs="宋体"/>
                <w:b/>
                <w:bCs/>
                <w:sz w:val="21"/>
                <w:szCs w:val="21"/>
                <w:highlight w:val="none"/>
              </w:rPr>
              <w:t>以上评审有一条不通过，则视为形式评审标准不通过，不进入下一步评审，应当否决其比选。</w:t>
            </w:r>
          </w:p>
        </w:tc>
      </w:tr>
      <w:tr w14:paraId="71726946">
        <w:trPr>
          <w:jc w:val="center"/>
        </w:trPr>
        <w:tc>
          <w:tcPr>
            <w:tcW w:w="724"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174FB9">
            <w:pPr>
              <w:pStyle w:val="48"/>
              <w:spacing w:before="0" w:beforeAutospacing="0" w:after="142" w:afterAutospacing="0"/>
              <w:rPr>
                <w:rFonts w:hint="eastAsia" w:cs="宋体"/>
                <w:sz w:val="21"/>
                <w:szCs w:val="21"/>
                <w:highlight w:val="none"/>
              </w:rPr>
            </w:pPr>
            <w:r>
              <w:rPr>
                <w:rFonts w:hint="eastAsia" w:cs="宋体"/>
                <w:sz w:val="21"/>
                <w:szCs w:val="21"/>
                <w:highlight w:val="none"/>
              </w:rPr>
              <w:t>2.1.3</w:t>
            </w:r>
          </w:p>
        </w:tc>
        <w:tc>
          <w:tcPr>
            <w:tcW w:w="488" w:type="dxa"/>
            <w:vMerge w:val="restart"/>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7D43F90">
            <w:pPr>
              <w:pStyle w:val="48"/>
              <w:spacing w:before="0" w:beforeAutospacing="0" w:after="142" w:afterAutospacing="0"/>
              <w:rPr>
                <w:rFonts w:hint="eastAsia" w:cs="宋体"/>
                <w:sz w:val="21"/>
                <w:szCs w:val="21"/>
                <w:highlight w:val="none"/>
              </w:rPr>
            </w:pPr>
            <w:r>
              <w:rPr>
                <w:rFonts w:hint="eastAsia" w:cs="宋体"/>
                <w:sz w:val="21"/>
                <w:szCs w:val="21"/>
                <w:highlight w:val="none"/>
              </w:rPr>
              <w:t>响应性评审标准</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46CEC02">
            <w:pPr>
              <w:pStyle w:val="48"/>
              <w:spacing w:before="0" w:beforeAutospacing="0" w:after="142" w:afterAutospacing="0"/>
              <w:rPr>
                <w:rFonts w:hint="eastAsia" w:cs="宋体"/>
                <w:sz w:val="21"/>
                <w:szCs w:val="21"/>
                <w:highlight w:val="none"/>
              </w:rPr>
            </w:pPr>
            <w:r>
              <w:rPr>
                <w:rFonts w:hint="eastAsia" w:cs="宋体"/>
                <w:sz w:val="21"/>
                <w:szCs w:val="21"/>
                <w:highlight w:val="none"/>
              </w:rPr>
              <w:t>比选范围</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5265E3C">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符合第二章“比选申请人须知前附表”第1.3.1 项规定</w:t>
            </w:r>
          </w:p>
        </w:tc>
      </w:tr>
      <w:tr w14:paraId="5E0722FB">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33EC62">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A730D02">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4D2AFEA">
            <w:pPr>
              <w:pStyle w:val="48"/>
              <w:spacing w:before="0" w:beforeAutospacing="0" w:after="142" w:afterAutospacing="0"/>
              <w:rPr>
                <w:rFonts w:hint="eastAsia" w:cs="宋体"/>
                <w:sz w:val="21"/>
                <w:szCs w:val="21"/>
                <w:highlight w:val="none"/>
              </w:rPr>
            </w:pPr>
            <w:r>
              <w:rPr>
                <w:rFonts w:hint="eastAsia" w:cs="宋体"/>
                <w:sz w:val="21"/>
                <w:szCs w:val="21"/>
                <w:highlight w:val="none"/>
              </w:rPr>
              <w:t>服务期限</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D21EAB">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符合第二章“比选申请人须知前附表”第1.3.2 项规定</w:t>
            </w:r>
          </w:p>
        </w:tc>
      </w:tr>
      <w:tr w14:paraId="223698FF">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C4AA53">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0C0FCC">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E9F5CB">
            <w:pPr>
              <w:pStyle w:val="48"/>
              <w:spacing w:before="0" w:beforeAutospacing="0" w:after="142" w:afterAutospacing="0"/>
              <w:rPr>
                <w:rFonts w:hint="eastAsia" w:cs="宋体"/>
                <w:sz w:val="21"/>
                <w:szCs w:val="21"/>
                <w:highlight w:val="none"/>
              </w:rPr>
            </w:pPr>
            <w:r>
              <w:rPr>
                <w:rFonts w:hint="eastAsia" w:cs="宋体"/>
                <w:sz w:val="21"/>
                <w:szCs w:val="21"/>
                <w:highlight w:val="none"/>
              </w:rPr>
              <w:t>比选有效期</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06701F">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符合第二章“比选申请人须知前附表”第3.3.1 项规定</w:t>
            </w:r>
          </w:p>
        </w:tc>
      </w:tr>
      <w:tr w14:paraId="3C8E1319">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CBA600">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EC2986A">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8C2F7F">
            <w:pPr>
              <w:pStyle w:val="48"/>
              <w:spacing w:before="0" w:beforeAutospacing="0" w:after="142" w:afterAutospacing="0"/>
              <w:rPr>
                <w:rFonts w:hint="eastAsia" w:cs="宋体"/>
                <w:sz w:val="21"/>
                <w:szCs w:val="21"/>
                <w:highlight w:val="none"/>
              </w:rPr>
            </w:pPr>
            <w:r>
              <w:rPr>
                <w:rFonts w:hint="eastAsia" w:cs="宋体"/>
                <w:sz w:val="21"/>
                <w:szCs w:val="21"/>
                <w:highlight w:val="none"/>
              </w:rPr>
              <w:t>权利和义务</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AAAB82">
            <w:pPr>
              <w:pStyle w:val="48"/>
              <w:spacing w:before="0" w:beforeAutospacing="0" w:after="142" w:afterAutospacing="0"/>
              <w:rPr>
                <w:rFonts w:hint="eastAsia" w:cs="宋体"/>
                <w:sz w:val="21"/>
                <w:szCs w:val="21"/>
                <w:highlight w:val="none"/>
              </w:rPr>
            </w:pPr>
            <w:r>
              <w:rPr>
                <w:rFonts w:hint="eastAsia" w:cs="宋体"/>
                <w:sz w:val="21"/>
                <w:szCs w:val="21"/>
                <w:highlight w:val="none"/>
              </w:rPr>
              <w:t>符合第四章“合同条款及格式”及第五章“比选人要求”规定</w:t>
            </w:r>
          </w:p>
        </w:tc>
      </w:tr>
      <w:tr w14:paraId="26440EB6">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9A3175">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B4116F">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F6B923">
            <w:pPr>
              <w:pStyle w:val="48"/>
              <w:spacing w:before="0" w:beforeAutospacing="0" w:after="142" w:afterAutospacing="0"/>
              <w:rPr>
                <w:rFonts w:hint="eastAsia" w:cs="宋体"/>
                <w:sz w:val="21"/>
                <w:szCs w:val="21"/>
                <w:highlight w:val="none"/>
              </w:rPr>
            </w:pPr>
            <w:r>
              <w:rPr>
                <w:rFonts w:hint="eastAsia" w:cs="宋体"/>
                <w:sz w:val="21"/>
                <w:szCs w:val="21"/>
                <w:highlight w:val="none"/>
              </w:rPr>
              <w:t>最高限价</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B8B36E7">
            <w:pPr>
              <w:pStyle w:val="48"/>
              <w:spacing w:before="0" w:beforeAutospacing="0" w:after="142" w:afterAutospacing="0"/>
              <w:rPr>
                <w:rFonts w:hint="eastAsia" w:cs="宋体"/>
                <w:sz w:val="21"/>
                <w:szCs w:val="21"/>
                <w:highlight w:val="none"/>
              </w:rPr>
            </w:pPr>
            <w:r>
              <w:rPr>
                <w:rFonts w:hint="eastAsia" w:cs="宋体"/>
                <w:sz w:val="21"/>
                <w:szCs w:val="21"/>
                <w:highlight w:val="none"/>
              </w:rPr>
              <w:t>符合第二章“比选申请人须知前附表”第3.2.4项规定</w:t>
            </w:r>
          </w:p>
        </w:tc>
      </w:tr>
      <w:tr w14:paraId="5760DCC3">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FFEF57">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CDD638">
            <w:pPr>
              <w:rPr>
                <w:rFonts w:hint="eastAsia" w:ascii="宋体" w:hAnsi="宋体" w:cs="宋体"/>
                <w:sz w:val="21"/>
                <w:szCs w:val="21"/>
                <w:highlight w:val="none"/>
              </w:rPr>
            </w:pP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B6A686">
            <w:pPr>
              <w:pStyle w:val="48"/>
              <w:spacing w:before="0" w:beforeAutospacing="0" w:after="142" w:afterAutospacing="0"/>
              <w:rPr>
                <w:rFonts w:hint="eastAsia" w:cs="宋体"/>
                <w:sz w:val="21"/>
                <w:szCs w:val="21"/>
                <w:highlight w:val="none"/>
              </w:rPr>
            </w:pPr>
            <w:r>
              <w:rPr>
                <w:rFonts w:hint="eastAsia" w:cs="宋体"/>
                <w:sz w:val="21"/>
                <w:szCs w:val="21"/>
                <w:highlight w:val="none"/>
              </w:rPr>
              <w:t>成本</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CAF24A">
            <w:pPr>
              <w:pStyle w:val="48"/>
              <w:spacing w:before="0" w:beforeAutospacing="0" w:after="142" w:afterAutospacing="0"/>
              <w:rPr>
                <w:rFonts w:hint="eastAsia" w:cs="宋体"/>
                <w:sz w:val="21"/>
                <w:szCs w:val="21"/>
                <w:highlight w:val="none"/>
              </w:rPr>
            </w:pPr>
            <w:r>
              <w:rPr>
                <w:rFonts w:hint="eastAsia" w:cs="宋体"/>
                <w:sz w:val="21"/>
                <w:szCs w:val="21"/>
                <w:highlight w:val="none"/>
              </w:rPr>
              <w:t>低于成本报价按第二章“比选申请人须知前附表”第10.4款规定进行认定</w:t>
            </w:r>
          </w:p>
        </w:tc>
      </w:tr>
      <w:tr w14:paraId="49DAAEDD">
        <w:trPr>
          <w:jc w:val="center"/>
        </w:trPr>
        <w:tc>
          <w:tcPr>
            <w:tcW w:w="724"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A5483D">
            <w:pPr>
              <w:rPr>
                <w:rFonts w:hint="eastAsia" w:ascii="宋体" w:hAnsi="宋体" w:cs="宋体"/>
                <w:sz w:val="21"/>
                <w:szCs w:val="21"/>
                <w:highlight w:val="none"/>
              </w:rPr>
            </w:pPr>
          </w:p>
        </w:tc>
        <w:tc>
          <w:tcPr>
            <w:tcW w:w="488" w:type="dxa"/>
            <w:vMerge w:val="continue"/>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2B24B5">
            <w:pPr>
              <w:rPr>
                <w:rFonts w:hint="eastAsia" w:ascii="宋体" w:hAnsi="宋体" w:cs="宋体"/>
                <w:sz w:val="21"/>
                <w:szCs w:val="21"/>
                <w:highlight w:val="none"/>
              </w:rPr>
            </w:pPr>
          </w:p>
        </w:tc>
        <w:tc>
          <w:tcPr>
            <w:tcW w:w="7499"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2E8B5B">
            <w:pPr>
              <w:pStyle w:val="48"/>
              <w:spacing w:before="0" w:beforeAutospacing="0" w:after="142" w:afterAutospacing="0"/>
              <w:rPr>
                <w:rFonts w:hint="eastAsia" w:cs="宋体"/>
                <w:sz w:val="21"/>
                <w:szCs w:val="21"/>
                <w:highlight w:val="none"/>
              </w:rPr>
            </w:pPr>
            <w:r>
              <w:rPr>
                <w:rFonts w:hint="eastAsia" w:cs="宋体"/>
                <w:b/>
                <w:bCs/>
                <w:sz w:val="21"/>
                <w:szCs w:val="21"/>
                <w:highlight w:val="none"/>
              </w:rPr>
              <w:t>以上评审有一条不通过，则视为响应性评审标准不通过，不进入下一步评审，应当否决其比选。</w:t>
            </w:r>
          </w:p>
        </w:tc>
      </w:tr>
      <w:tr w14:paraId="08069AEB">
        <w:trPr>
          <w:trHeight w:val="825"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162FD55">
            <w:pPr>
              <w:pStyle w:val="48"/>
              <w:spacing w:before="0" w:beforeAutospacing="0" w:after="142" w:afterAutospacing="0"/>
              <w:rPr>
                <w:rFonts w:hint="eastAsia" w:cs="宋体"/>
                <w:sz w:val="21"/>
                <w:szCs w:val="21"/>
                <w:highlight w:val="none"/>
              </w:rPr>
            </w:pPr>
            <w:r>
              <w:rPr>
                <w:rFonts w:hint="eastAsia" w:cs="宋体"/>
                <w:sz w:val="21"/>
                <w:szCs w:val="21"/>
                <w:highlight w:val="none"/>
              </w:rPr>
              <w:t>条款号</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D8C66AE">
            <w:pPr>
              <w:pStyle w:val="48"/>
              <w:spacing w:before="0" w:beforeAutospacing="0" w:after="142" w:afterAutospacing="0"/>
              <w:rPr>
                <w:rFonts w:hint="eastAsia" w:cs="宋体"/>
                <w:sz w:val="21"/>
                <w:szCs w:val="21"/>
                <w:highlight w:val="none"/>
              </w:rPr>
            </w:pPr>
            <w:r>
              <w:rPr>
                <w:rFonts w:hint="eastAsia" w:cs="宋体"/>
                <w:sz w:val="21"/>
                <w:szCs w:val="21"/>
                <w:highlight w:val="none"/>
              </w:rPr>
              <w:t>条款内容</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D778B9">
            <w:pPr>
              <w:pStyle w:val="48"/>
              <w:spacing w:before="0" w:beforeAutospacing="0" w:after="142" w:afterAutospacing="0"/>
              <w:rPr>
                <w:rFonts w:hint="eastAsia" w:cs="宋体"/>
                <w:sz w:val="21"/>
                <w:szCs w:val="21"/>
                <w:highlight w:val="none"/>
              </w:rPr>
            </w:pPr>
            <w:r>
              <w:rPr>
                <w:rFonts w:hint="eastAsia" w:cs="宋体"/>
                <w:sz w:val="21"/>
                <w:szCs w:val="21"/>
                <w:highlight w:val="none"/>
              </w:rPr>
              <w:t>编列内容</w:t>
            </w:r>
          </w:p>
        </w:tc>
      </w:tr>
      <w:tr w14:paraId="4D7AA665">
        <w:trPr>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DB5FA7">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2.2.1</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5CFAEF">
            <w:pPr>
              <w:pStyle w:val="48"/>
              <w:spacing w:before="0" w:beforeAutospacing="0" w:after="0" w:afterAutospacing="0" w:line="360" w:lineRule="auto"/>
              <w:jc w:val="center"/>
              <w:rPr>
                <w:rFonts w:hint="eastAsia" w:cs="宋体"/>
                <w:sz w:val="21"/>
                <w:szCs w:val="21"/>
                <w:highlight w:val="none"/>
              </w:rPr>
            </w:pPr>
            <w:r>
              <w:rPr>
                <w:rFonts w:hint="eastAsia" w:cs="宋体"/>
                <w:sz w:val="21"/>
                <w:szCs w:val="21"/>
                <w:highlight w:val="none"/>
              </w:rPr>
              <w:t>分值构成</w:t>
            </w:r>
          </w:p>
          <w:p w14:paraId="296869CF">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(总分100分)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C5F37F">
            <w:pPr>
              <w:pStyle w:val="48"/>
              <w:spacing w:before="0" w:beforeAutospacing="0" w:after="0" w:afterAutospacing="0" w:line="360" w:lineRule="auto"/>
              <w:rPr>
                <w:rFonts w:hint="eastAsia" w:cs="宋体"/>
                <w:sz w:val="21"/>
                <w:szCs w:val="21"/>
                <w:highlight w:val="none"/>
              </w:rPr>
            </w:pPr>
            <w:r>
              <w:rPr>
                <w:rFonts w:hint="eastAsia" w:cs="宋体"/>
                <w:sz w:val="21"/>
                <w:szCs w:val="21"/>
                <w:highlight w:val="none"/>
              </w:rPr>
              <w:t>报价：</w:t>
            </w:r>
            <w:r>
              <w:rPr>
                <w:rFonts w:hint="eastAsia" w:cs="宋体"/>
                <w:sz w:val="21"/>
                <w:szCs w:val="21"/>
                <w:highlight w:val="none"/>
                <w:lang w:val="en-US" w:eastAsia="zh-CN"/>
              </w:rPr>
              <w:t>2</w:t>
            </w:r>
            <w:r>
              <w:rPr>
                <w:rFonts w:hint="eastAsia" w:cs="宋体"/>
                <w:sz w:val="21"/>
                <w:szCs w:val="21"/>
                <w:highlight w:val="none"/>
              </w:rPr>
              <w:t>0分</w:t>
            </w:r>
          </w:p>
          <w:p w14:paraId="36F84898">
            <w:pPr>
              <w:pStyle w:val="48"/>
              <w:spacing w:before="0" w:beforeAutospacing="0" w:after="0" w:afterAutospacing="0" w:line="360" w:lineRule="auto"/>
              <w:rPr>
                <w:rFonts w:hint="eastAsia" w:cs="宋体"/>
                <w:sz w:val="21"/>
                <w:szCs w:val="21"/>
                <w:highlight w:val="none"/>
              </w:rPr>
            </w:pPr>
            <w:r>
              <w:rPr>
                <w:rFonts w:hint="eastAsia" w:cs="宋体"/>
                <w:sz w:val="21"/>
                <w:szCs w:val="21"/>
                <w:highlight w:val="none"/>
              </w:rPr>
              <w:t>项目团队：</w:t>
            </w:r>
            <w:r>
              <w:rPr>
                <w:rFonts w:hint="eastAsia" w:cs="宋体"/>
                <w:sz w:val="21"/>
                <w:szCs w:val="21"/>
                <w:highlight w:val="none"/>
                <w:lang w:val="en-US" w:eastAsia="zh-CN"/>
              </w:rPr>
              <w:t>5</w:t>
            </w:r>
            <w:r>
              <w:rPr>
                <w:rFonts w:hint="eastAsia" w:cs="宋体"/>
                <w:sz w:val="21"/>
                <w:szCs w:val="21"/>
                <w:highlight w:val="none"/>
              </w:rPr>
              <w:t>分</w:t>
            </w:r>
          </w:p>
          <w:p w14:paraId="4D664919">
            <w:pPr>
              <w:keepNext w:val="0"/>
              <w:keepLines w:val="0"/>
              <w:spacing w:before="0" w:after="0" w:line="360" w:lineRule="auto"/>
              <w:outlineLvl w:val="9"/>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项目实施方案：60分</w:t>
            </w:r>
          </w:p>
          <w:p w14:paraId="1F3DA9FD">
            <w:pPr>
              <w:pStyle w:val="48"/>
              <w:spacing w:before="0" w:beforeAutospacing="0" w:after="142" w:afterAutospacing="0" w:line="360" w:lineRule="auto"/>
              <w:rPr>
                <w:rFonts w:hint="eastAsia" w:cs="宋体"/>
                <w:sz w:val="21"/>
                <w:szCs w:val="21"/>
                <w:highlight w:val="none"/>
              </w:rPr>
            </w:pPr>
            <w:r>
              <w:rPr>
                <w:rFonts w:hint="eastAsia" w:cs="宋体"/>
                <w:sz w:val="21"/>
                <w:szCs w:val="21"/>
                <w:highlight w:val="none"/>
              </w:rPr>
              <w:t>履约能力：1</w:t>
            </w:r>
            <w:r>
              <w:rPr>
                <w:rFonts w:hint="eastAsia" w:cs="宋体"/>
                <w:sz w:val="21"/>
                <w:szCs w:val="21"/>
                <w:highlight w:val="none"/>
                <w:lang w:val="en-US" w:eastAsia="zh-CN"/>
              </w:rPr>
              <w:t>5</w:t>
            </w:r>
            <w:r>
              <w:rPr>
                <w:rFonts w:hint="eastAsia" w:cs="宋体"/>
                <w:sz w:val="21"/>
                <w:szCs w:val="21"/>
                <w:highlight w:val="none"/>
              </w:rPr>
              <w:t>分</w:t>
            </w:r>
          </w:p>
        </w:tc>
      </w:tr>
      <w:tr w14:paraId="11BAF45C">
        <w:trPr>
          <w:trHeight w:val="630"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7312FC">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2.2.2(1)</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7FB7FE5">
            <w:pPr>
              <w:pStyle w:val="48"/>
              <w:spacing w:before="0" w:beforeAutospacing="0" w:after="0" w:afterAutospacing="0" w:line="360" w:lineRule="auto"/>
              <w:jc w:val="center"/>
              <w:rPr>
                <w:rFonts w:hint="eastAsia" w:cs="宋体"/>
                <w:sz w:val="21"/>
                <w:szCs w:val="21"/>
                <w:highlight w:val="none"/>
              </w:rPr>
            </w:pPr>
            <w:r>
              <w:rPr>
                <w:rFonts w:hint="eastAsia" w:cs="宋体"/>
                <w:sz w:val="21"/>
                <w:szCs w:val="21"/>
                <w:highlight w:val="none"/>
              </w:rPr>
              <w:t>报价</w:t>
            </w:r>
          </w:p>
          <w:p w14:paraId="39A38A2B">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w:t>
            </w:r>
            <w:r>
              <w:rPr>
                <w:rFonts w:hint="eastAsia" w:cs="宋体"/>
                <w:sz w:val="21"/>
                <w:szCs w:val="21"/>
                <w:highlight w:val="none"/>
                <w:lang w:val="en-US" w:eastAsia="zh-CN"/>
              </w:rPr>
              <w:t>2</w:t>
            </w:r>
            <w:r>
              <w:rPr>
                <w:rFonts w:hint="eastAsia" w:cs="宋体"/>
                <w:sz w:val="21"/>
                <w:szCs w:val="21"/>
                <w:highlight w:val="none"/>
              </w:rPr>
              <w:t>0分）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59ABC5">
            <w:pPr>
              <w:pStyle w:val="48"/>
              <w:spacing w:before="0" w:beforeAutospacing="0" w:after="142" w:afterAutospacing="0" w:line="360" w:lineRule="auto"/>
              <w:ind w:firstLine="420"/>
              <w:rPr>
                <w:rFonts w:hint="eastAsia" w:ascii="宋体" w:hAnsi="宋体"/>
                <w:sz w:val="21"/>
                <w:szCs w:val="21"/>
                <w:highlight w:val="none"/>
                <w:lang w:val="en-US" w:eastAsia="zh-CN"/>
              </w:rPr>
            </w:pPr>
            <w:bookmarkStart w:id="782" w:name="OLE_LINK4"/>
            <w:r>
              <w:rPr>
                <w:rFonts w:hint="eastAsia" w:ascii="宋体" w:hAnsi="宋体"/>
                <w:sz w:val="21"/>
                <w:szCs w:val="21"/>
                <w:highlight w:val="none"/>
              </w:rPr>
              <w:t>货物重量</w:t>
            </w:r>
            <w:bookmarkEnd w:id="782"/>
            <w:r>
              <w:rPr>
                <w:rFonts w:hint="eastAsia" w:ascii="宋体" w:hAnsi="宋体"/>
                <w:sz w:val="21"/>
                <w:szCs w:val="21"/>
                <w:highlight w:val="none"/>
                <w:lang w:eastAsia="zh-CN"/>
              </w:rPr>
              <w:t>报价</w:t>
            </w:r>
            <w:r>
              <w:rPr>
                <w:rFonts w:hint="eastAsia" w:ascii="宋体" w:hAnsi="宋体"/>
                <w:sz w:val="21"/>
                <w:szCs w:val="21"/>
                <w:highlight w:val="none"/>
              </w:rPr>
              <w:t>与</w:t>
            </w:r>
            <w:bookmarkStart w:id="783" w:name="OLE_LINK18"/>
            <w:bookmarkStart w:id="784" w:name="OLE_LINK20"/>
            <w:r>
              <w:rPr>
                <w:rFonts w:hint="eastAsia" w:ascii="宋体" w:hAnsi="宋体"/>
                <w:sz w:val="21"/>
                <w:szCs w:val="21"/>
                <w:highlight w:val="none"/>
              </w:rPr>
              <w:t>运输里程</w:t>
            </w:r>
            <w:bookmarkEnd w:id="783"/>
            <w:r>
              <w:rPr>
                <w:rFonts w:hint="eastAsia" w:ascii="宋体" w:hAnsi="宋体"/>
                <w:sz w:val="21"/>
                <w:szCs w:val="21"/>
                <w:highlight w:val="none"/>
                <w:lang w:eastAsia="zh-CN"/>
              </w:rPr>
              <w:t>报</w:t>
            </w:r>
            <w:bookmarkEnd w:id="784"/>
            <w:r>
              <w:rPr>
                <w:rFonts w:hint="eastAsia" w:ascii="宋体" w:hAnsi="宋体"/>
                <w:sz w:val="21"/>
                <w:szCs w:val="21"/>
                <w:highlight w:val="none"/>
                <w:lang w:eastAsia="zh-CN"/>
              </w:rPr>
              <w:t>价分值及占比：</w:t>
            </w:r>
            <w:r>
              <w:rPr>
                <w:rFonts w:hint="eastAsia" w:ascii="宋体" w:hAnsi="宋体"/>
                <w:sz w:val="21"/>
                <w:szCs w:val="21"/>
                <w:highlight w:val="none"/>
              </w:rPr>
              <w:t>货物重量</w:t>
            </w:r>
            <w:bookmarkStart w:id="785" w:name="OLE_LINK19"/>
            <w:r>
              <w:rPr>
                <w:rFonts w:hint="eastAsia" w:ascii="宋体" w:hAnsi="宋体"/>
                <w:sz w:val="21"/>
                <w:szCs w:val="21"/>
                <w:highlight w:val="none"/>
                <w:lang w:eastAsia="zh-CN"/>
              </w:rPr>
              <w:t>（</w:t>
            </w:r>
            <w:r>
              <w:rPr>
                <w:rFonts w:hint="eastAsia" w:ascii="宋体" w:hAnsi="宋体"/>
                <w:sz w:val="21"/>
                <w:szCs w:val="21"/>
                <w:highlight w:val="none"/>
                <w:lang w:val="en-US" w:eastAsia="zh-CN"/>
              </w:rPr>
              <w:t>10分，占比10%）</w:t>
            </w:r>
            <w:bookmarkEnd w:id="785"/>
            <w:r>
              <w:rPr>
                <w:rFonts w:hint="eastAsia" w:ascii="宋体" w:hAnsi="宋体"/>
                <w:sz w:val="21"/>
                <w:szCs w:val="21"/>
                <w:highlight w:val="none"/>
                <w:lang w:val="en-US" w:eastAsia="zh-CN"/>
              </w:rPr>
              <w:t>、</w:t>
            </w:r>
            <w:r>
              <w:rPr>
                <w:rFonts w:hint="eastAsia" w:ascii="宋体" w:hAnsi="宋体"/>
                <w:sz w:val="21"/>
                <w:szCs w:val="21"/>
                <w:highlight w:val="none"/>
              </w:rPr>
              <w:t>运输里程</w:t>
            </w:r>
            <w:r>
              <w:rPr>
                <w:rFonts w:hint="eastAsia" w:ascii="宋体" w:hAnsi="宋体"/>
                <w:sz w:val="21"/>
                <w:szCs w:val="21"/>
                <w:highlight w:val="none"/>
                <w:lang w:eastAsia="zh-CN"/>
              </w:rPr>
              <w:t>（</w:t>
            </w:r>
            <w:r>
              <w:rPr>
                <w:rFonts w:hint="eastAsia" w:ascii="宋体" w:hAnsi="宋体"/>
                <w:sz w:val="21"/>
                <w:szCs w:val="21"/>
                <w:highlight w:val="none"/>
                <w:lang w:val="en-US" w:eastAsia="zh-CN"/>
              </w:rPr>
              <w:t>10分，占比10%）</w:t>
            </w:r>
          </w:p>
          <w:p w14:paraId="22FD7B1F">
            <w:pPr>
              <w:pStyle w:val="48"/>
              <w:spacing w:before="0" w:beforeAutospacing="0" w:after="142" w:afterAutospacing="0" w:line="360" w:lineRule="auto"/>
              <w:ind w:firstLine="420"/>
              <w:rPr>
                <w:rFonts w:hint="default" w:eastAsia="宋体"/>
                <w:highlight w:val="none"/>
                <w:lang w:val="en-US" w:eastAsia="zh-CN"/>
              </w:rPr>
            </w:pPr>
            <w:r>
              <w:rPr>
                <w:rFonts w:hint="eastAsia" w:ascii="宋体" w:hAnsi="宋体"/>
                <w:sz w:val="21"/>
                <w:szCs w:val="21"/>
                <w:highlight w:val="none"/>
              </w:rPr>
              <w:t>本项目报价</w:t>
            </w:r>
            <w:r>
              <w:rPr>
                <w:rFonts w:hint="eastAsia" w:ascii="宋体" w:hAnsi="宋体"/>
                <w:sz w:val="21"/>
                <w:szCs w:val="21"/>
                <w:highlight w:val="none"/>
                <w:lang w:eastAsia="zh-CN"/>
              </w:rPr>
              <w:t>（</w:t>
            </w:r>
            <w:r>
              <w:rPr>
                <w:rFonts w:hint="eastAsia" w:ascii="宋体" w:hAnsi="宋体"/>
                <w:sz w:val="21"/>
                <w:szCs w:val="21"/>
                <w:highlight w:val="none"/>
              </w:rPr>
              <w:t>货物重量</w:t>
            </w:r>
            <w:r>
              <w:rPr>
                <w:rFonts w:hint="eastAsia" w:ascii="宋体" w:hAnsi="宋体"/>
                <w:sz w:val="21"/>
                <w:szCs w:val="21"/>
                <w:highlight w:val="none"/>
                <w:lang w:eastAsia="zh-CN"/>
              </w:rPr>
              <w:t>、</w:t>
            </w:r>
            <w:r>
              <w:rPr>
                <w:rFonts w:hint="eastAsia" w:ascii="宋体" w:hAnsi="宋体"/>
                <w:sz w:val="21"/>
                <w:szCs w:val="21"/>
                <w:highlight w:val="none"/>
              </w:rPr>
              <w:t>运输里程</w:t>
            </w:r>
            <w:r>
              <w:rPr>
                <w:rFonts w:hint="eastAsia" w:ascii="宋体" w:hAnsi="宋体"/>
                <w:sz w:val="21"/>
                <w:szCs w:val="21"/>
                <w:highlight w:val="none"/>
                <w:lang w:eastAsia="zh-CN"/>
              </w:rPr>
              <w:t>）</w:t>
            </w:r>
            <w:r>
              <w:rPr>
                <w:rFonts w:hint="eastAsia" w:ascii="宋体" w:hAnsi="宋体"/>
                <w:sz w:val="21"/>
                <w:szCs w:val="21"/>
                <w:highlight w:val="none"/>
              </w:rPr>
              <w:t>计分按照以</w:t>
            </w:r>
            <w:r>
              <w:rPr>
                <w:rFonts w:ascii="宋体" w:hAnsi="宋体"/>
                <w:sz w:val="21"/>
                <w:szCs w:val="21"/>
                <w:highlight w:val="none"/>
              </w:rPr>
              <w:t>下标准计分：</w:t>
            </w:r>
          </w:p>
          <w:p w14:paraId="79163ADC">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1、采用经评审的有效报价（经初步评审合格的投标报价；报价有修正的，以修正后的价格为准）的算术平均值为评标基准价，计算公式为：</w:t>
            </w:r>
          </w:p>
          <w:p w14:paraId="035CAD5A">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S（评标基准价）=（a1+……+an）/n，a为有效的投标报价。</w:t>
            </w:r>
          </w:p>
          <w:p w14:paraId="7E653C78">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2、以基准价为准，经评审的有效报价等于基准价的得满分，经评审的有效报价与基准价相比，每高1%扣0.</w:t>
            </w:r>
            <w:r>
              <w:rPr>
                <w:rFonts w:hint="eastAsia" w:cs="宋体"/>
                <w:bCs/>
                <w:sz w:val="21"/>
                <w:szCs w:val="21"/>
                <w:highlight w:val="none"/>
              </w:rPr>
              <w:t>5</w:t>
            </w:r>
            <w:r>
              <w:rPr>
                <w:rFonts w:hint="eastAsia" w:cs="宋体"/>
                <w:bCs/>
                <w:sz w:val="21"/>
                <w:szCs w:val="21"/>
                <w:highlight w:val="none"/>
                <w:lang w:val="zh-CN"/>
              </w:rPr>
              <w:t>分，每低1%扣0.</w:t>
            </w:r>
            <w:r>
              <w:rPr>
                <w:rFonts w:hint="eastAsia" w:cs="宋体"/>
                <w:bCs/>
                <w:sz w:val="21"/>
                <w:szCs w:val="21"/>
                <w:highlight w:val="none"/>
              </w:rPr>
              <w:t>5</w:t>
            </w:r>
            <w:r>
              <w:rPr>
                <w:rFonts w:hint="eastAsia" w:cs="宋体"/>
                <w:bCs/>
                <w:sz w:val="21"/>
                <w:szCs w:val="21"/>
                <w:highlight w:val="none"/>
                <w:lang w:val="zh-CN"/>
              </w:rPr>
              <w:t>分。中间值用插入法进行计算，小数点后保留两位。</w:t>
            </w:r>
          </w:p>
          <w:p w14:paraId="056A55B2">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偏差率计算公式：</w:t>
            </w:r>
          </w:p>
          <w:p w14:paraId="10AAA0AB">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偏差率=100%×︱（</w:t>
            </w:r>
            <w:r>
              <w:rPr>
                <w:rFonts w:hint="eastAsia" w:cs="宋体"/>
                <w:bCs/>
                <w:sz w:val="21"/>
                <w:szCs w:val="21"/>
                <w:highlight w:val="none"/>
              </w:rPr>
              <w:t>比选申请人</w:t>
            </w:r>
            <w:r>
              <w:rPr>
                <w:rFonts w:hint="eastAsia" w:cs="宋体"/>
                <w:bCs/>
                <w:sz w:val="21"/>
                <w:szCs w:val="21"/>
                <w:highlight w:val="none"/>
                <w:lang w:val="zh-CN"/>
              </w:rPr>
              <w:t>报价-评标基准价）︱/评标基准价</w:t>
            </w:r>
          </w:p>
          <w:p w14:paraId="0267E451">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注：评分的取值按四舍五入法，保留小数点后两位。</w:t>
            </w:r>
          </w:p>
        </w:tc>
      </w:tr>
      <w:tr w14:paraId="69FABA62">
        <w:trPr>
          <w:trHeight w:val="555"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463C45">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2.2.2(2)</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52BF4D6">
            <w:pPr>
              <w:pStyle w:val="48"/>
              <w:spacing w:before="0" w:beforeAutospacing="0" w:after="0" w:afterAutospacing="0" w:line="360" w:lineRule="auto"/>
              <w:jc w:val="center"/>
              <w:rPr>
                <w:rFonts w:hint="eastAsia" w:cs="宋体"/>
                <w:sz w:val="21"/>
                <w:szCs w:val="21"/>
                <w:highlight w:val="none"/>
              </w:rPr>
            </w:pPr>
            <w:r>
              <w:rPr>
                <w:rFonts w:hint="eastAsia" w:cs="宋体"/>
                <w:sz w:val="21"/>
                <w:szCs w:val="21"/>
                <w:highlight w:val="none"/>
              </w:rPr>
              <w:t>项目团队</w:t>
            </w:r>
          </w:p>
          <w:p w14:paraId="35762BA4">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w:t>
            </w:r>
            <w:r>
              <w:rPr>
                <w:rFonts w:hint="eastAsia" w:cs="宋体"/>
                <w:sz w:val="21"/>
                <w:szCs w:val="21"/>
                <w:highlight w:val="none"/>
                <w:lang w:val="en-US" w:eastAsia="zh-CN"/>
              </w:rPr>
              <w:t>5</w:t>
            </w:r>
            <w:r>
              <w:rPr>
                <w:rFonts w:hint="eastAsia" w:cs="宋体"/>
                <w:sz w:val="21"/>
                <w:szCs w:val="21"/>
                <w:highlight w:val="none"/>
              </w:rPr>
              <w:t>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48950C">
            <w:pPr>
              <w:pStyle w:val="48"/>
              <w:spacing w:before="0" w:beforeAutospacing="0" w:after="142" w:afterAutospacing="0" w:line="360" w:lineRule="auto"/>
              <w:ind w:firstLine="420"/>
              <w:rPr>
                <w:rFonts w:cs="宋体"/>
                <w:bCs/>
                <w:sz w:val="21"/>
                <w:szCs w:val="21"/>
                <w:highlight w:val="none"/>
                <w:lang w:val="zh-CN"/>
              </w:rPr>
            </w:pPr>
            <w:r>
              <w:rPr>
                <w:rFonts w:hint="eastAsia" w:cs="宋体"/>
                <w:bCs/>
                <w:sz w:val="21"/>
                <w:szCs w:val="21"/>
                <w:highlight w:val="none"/>
                <w:lang w:val="zh-CN"/>
              </w:rPr>
              <w:t>拟派项目团队成员应包括</w:t>
            </w:r>
            <w:bookmarkStart w:id="786" w:name="OLE_LINK24"/>
            <w:r>
              <w:rPr>
                <w:rFonts w:hint="eastAsia" w:cs="宋体"/>
                <w:bCs/>
                <w:sz w:val="21"/>
                <w:szCs w:val="21"/>
                <w:highlight w:val="none"/>
                <w:lang w:val="zh-CN"/>
              </w:rPr>
              <w:t>驾驶员、押运员</w:t>
            </w:r>
            <w:bookmarkEnd w:id="786"/>
            <w:r>
              <w:rPr>
                <w:rFonts w:hint="eastAsia" w:cs="宋体"/>
                <w:bCs/>
                <w:sz w:val="21"/>
                <w:szCs w:val="21"/>
                <w:highlight w:val="none"/>
                <w:lang w:val="zh-CN"/>
              </w:rPr>
              <w:t>。</w:t>
            </w:r>
            <w:bookmarkStart w:id="787" w:name="OLE_LINK22"/>
          </w:p>
          <w:p w14:paraId="2FCFDFC0">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驾驶员、押运员均持</w:t>
            </w:r>
            <w:r>
              <w:rPr>
                <w:rFonts w:hint="eastAsia" w:cs="宋体"/>
                <w:bCs/>
                <w:sz w:val="21"/>
                <w:szCs w:val="21"/>
                <w:highlight w:val="none"/>
              </w:rPr>
              <w:t>相关</w:t>
            </w:r>
            <w:r>
              <w:rPr>
                <w:rFonts w:hint="eastAsia" w:cs="宋体"/>
                <w:bCs/>
                <w:sz w:val="21"/>
                <w:szCs w:val="21"/>
                <w:highlight w:val="none"/>
                <w:lang w:val="zh-CN"/>
              </w:rPr>
              <w:t>从业资格证（5分，人员证件不全每人次扣2.5分）</w:t>
            </w:r>
            <w:bookmarkEnd w:id="787"/>
            <w:r>
              <w:rPr>
                <w:rFonts w:hint="eastAsia" w:cs="宋体"/>
                <w:bCs/>
                <w:sz w:val="21"/>
                <w:szCs w:val="21"/>
                <w:highlight w:val="none"/>
                <w:lang w:val="zh-CN"/>
              </w:rPr>
              <w:t>。</w:t>
            </w:r>
          </w:p>
          <w:p w14:paraId="12FE436F">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注：提供人员证书扫描件及安全培训合格记录。</w:t>
            </w:r>
          </w:p>
        </w:tc>
      </w:tr>
      <w:tr w14:paraId="7118823B">
        <w:trPr>
          <w:trHeight w:val="555"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26A5B92">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2.2.2(3)</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454DEB6">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项目实施方案（6</w:t>
            </w:r>
            <w:r>
              <w:rPr>
                <w:rFonts w:hint="eastAsia" w:cs="宋体"/>
                <w:sz w:val="21"/>
                <w:szCs w:val="21"/>
                <w:highlight w:val="none"/>
                <w:lang w:val="en-US" w:eastAsia="zh-CN"/>
              </w:rPr>
              <w:t>0</w:t>
            </w:r>
            <w:r>
              <w:rPr>
                <w:rFonts w:hint="eastAsia" w:cs="宋体"/>
                <w:sz w:val="21"/>
                <w:szCs w:val="21"/>
                <w:highlight w:val="none"/>
              </w:rPr>
              <w:t>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top"/>
          </w:tcPr>
          <w:p w14:paraId="4D244B36">
            <w:pPr>
              <w:pStyle w:val="48"/>
              <w:spacing w:before="0" w:beforeAutospacing="0" w:after="142" w:afterAutospacing="0" w:line="360" w:lineRule="auto"/>
              <w:ind w:firstLine="420"/>
              <w:rPr>
                <w:rFonts w:hint="eastAsia" w:cs="宋体"/>
                <w:bCs/>
                <w:sz w:val="21"/>
                <w:szCs w:val="21"/>
                <w:highlight w:val="none"/>
                <w:lang w:val="zh-CN"/>
              </w:rPr>
            </w:pPr>
          </w:p>
          <w:p w14:paraId="0BDBBFEC">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1.运输方案合理性，①路线与时效规划，②车辆与设备配置，③装卸与包装保障，</w:t>
            </w:r>
            <w:bookmarkStart w:id="788" w:name="OLE_LINK32"/>
            <w:r>
              <w:rPr>
                <w:rFonts w:hint="eastAsia" w:cs="宋体"/>
                <w:bCs/>
                <w:sz w:val="21"/>
                <w:szCs w:val="21"/>
                <w:highlight w:val="none"/>
                <w:lang w:val="zh-CN"/>
              </w:rPr>
              <w:t>以上完全满足项目需求的得</w:t>
            </w:r>
            <w:r>
              <w:rPr>
                <w:rFonts w:hint="eastAsia" w:cs="宋体"/>
                <w:bCs/>
                <w:sz w:val="21"/>
                <w:szCs w:val="21"/>
                <w:highlight w:val="none"/>
                <w:lang w:val="en-US" w:eastAsia="zh-CN"/>
              </w:rPr>
              <w:t>30</w:t>
            </w:r>
            <w:r>
              <w:rPr>
                <w:rFonts w:hint="eastAsia" w:cs="宋体"/>
                <w:bCs/>
                <w:sz w:val="21"/>
                <w:szCs w:val="21"/>
                <w:highlight w:val="none"/>
                <w:lang w:val="zh-CN"/>
              </w:rPr>
              <w:t>分，每有一项不足或过于简略扣</w:t>
            </w:r>
            <w:r>
              <w:rPr>
                <w:rFonts w:hint="eastAsia" w:cs="宋体"/>
                <w:bCs/>
                <w:sz w:val="21"/>
                <w:szCs w:val="21"/>
                <w:highlight w:val="none"/>
                <w:lang w:val="en-US" w:eastAsia="zh-CN"/>
              </w:rPr>
              <w:t>5</w:t>
            </w:r>
            <w:r>
              <w:rPr>
                <w:rFonts w:hint="eastAsia" w:cs="宋体"/>
                <w:bCs/>
                <w:sz w:val="21"/>
                <w:szCs w:val="21"/>
                <w:highlight w:val="none"/>
                <w:lang w:val="zh-CN"/>
              </w:rPr>
              <w:t>分。每有一项不能满足项目需求或未提供扣</w:t>
            </w:r>
            <w:r>
              <w:rPr>
                <w:rFonts w:hint="eastAsia" w:cs="宋体"/>
                <w:bCs/>
                <w:sz w:val="21"/>
                <w:szCs w:val="21"/>
                <w:highlight w:val="none"/>
                <w:lang w:val="en-US" w:eastAsia="zh-CN"/>
              </w:rPr>
              <w:t>10</w:t>
            </w:r>
            <w:r>
              <w:rPr>
                <w:rFonts w:hint="eastAsia" w:cs="宋体"/>
                <w:bCs/>
                <w:sz w:val="21"/>
                <w:szCs w:val="21"/>
                <w:highlight w:val="none"/>
                <w:lang w:val="zh-CN"/>
              </w:rPr>
              <w:t>分，扣完为止。</w:t>
            </w:r>
          </w:p>
          <w:bookmarkEnd w:id="788"/>
          <w:p w14:paraId="6A8B0AFB">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2.安全保障措施，①安全管理制度，②途中安全管控，③风险防控预案，以上完全满足项目需求的得</w:t>
            </w:r>
            <w:r>
              <w:rPr>
                <w:rFonts w:hint="eastAsia" w:cs="宋体"/>
                <w:bCs/>
                <w:sz w:val="21"/>
                <w:szCs w:val="21"/>
                <w:highlight w:val="none"/>
                <w:lang w:val="en-US" w:eastAsia="zh-CN"/>
              </w:rPr>
              <w:t>30</w:t>
            </w:r>
            <w:r>
              <w:rPr>
                <w:rFonts w:hint="eastAsia" w:cs="宋体"/>
                <w:bCs/>
                <w:sz w:val="21"/>
                <w:szCs w:val="21"/>
                <w:highlight w:val="none"/>
                <w:lang w:val="zh-CN"/>
              </w:rPr>
              <w:t>分，每有一项不足或过于简略扣</w:t>
            </w:r>
            <w:r>
              <w:rPr>
                <w:rFonts w:hint="eastAsia" w:cs="宋体"/>
                <w:bCs/>
                <w:sz w:val="21"/>
                <w:szCs w:val="21"/>
                <w:highlight w:val="none"/>
                <w:lang w:val="en-US" w:eastAsia="zh-CN"/>
              </w:rPr>
              <w:t>5</w:t>
            </w:r>
            <w:r>
              <w:rPr>
                <w:rFonts w:hint="eastAsia" w:cs="宋体"/>
                <w:bCs/>
                <w:sz w:val="21"/>
                <w:szCs w:val="21"/>
                <w:highlight w:val="none"/>
                <w:lang w:val="zh-CN"/>
              </w:rPr>
              <w:t>分，每有一项不能满足项目需求或未提供扣</w:t>
            </w:r>
            <w:r>
              <w:rPr>
                <w:rFonts w:hint="eastAsia" w:cs="宋体"/>
                <w:bCs/>
                <w:sz w:val="21"/>
                <w:szCs w:val="21"/>
                <w:highlight w:val="none"/>
                <w:lang w:val="en-US" w:eastAsia="zh-CN"/>
              </w:rPr>
              <w:t>10</w:t>
            </w:r>
            <w:r>
              <w:rPr>
                <w:rFonts w:hint="eastAsia" w:cs="宋体"/>
                <w:bCs/>
                <w:sz w:val="21"/>
                <w:szCs w:val="21"/>
                <w:highlight w:val="none"/>
                <w:lang w:val="zh-CN"/>
              </w:rPr>
              <w:t>分，扣完为止。</w:t>
            </w:r>
          </w:p>
        </w:tc>
      </w:tr>
      <w:tr w14:paraId="35FAFA36">
        <w:trPr>
          <w:trHeight w:val="211"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5D3D4EA">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2.2.2(4)</w:t>
            </w:r>
          </w:p>
        </w:tc>
        <w:tc>
          <w:tcPr>
            <w:tcW w:w="1112"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B8C62A">
            <w:pPr>
              <w:pStyle w:val="48"/>
              <w:spacing w:before="0" w:beforeAutospacing="0" w:after="142" w:afterAutospacing="0" w:line="360" w:lineRule="auto"/>
              <w:jc w:val="center"/>
              <w:rPr>
                <w:rFonts w:hint="eastAsia" w:cs="宋体"/>
                <w:sz w:val="21"/>
                <w:szCs w:val="21"/>
                <w:highlight w:val="none"/>
              </w:rPr>
            </w:pPr>
            <w:r>
              <w:rPr>
                <w:rFonts w:hint="eastAsia" w:cs="宋体"/>
                <w:sz w:val="21"/>
                <w:szCs w:val="21"/>
                <w:highlight w:val="none"/>
              </w:rPr>
              <w:t>履约能力（1</w:t>
            </w:r>
            <w:r>
              <w:rPr>
                <w:rFonts w:hint="eastAsia" w:cs="宋体"/>
                <w:sz w:val="21"/>
                <w:szCs w:val="21"/>
                <w:highlight w:val="none"/>
                <w:lang w:val="en-US" w:eastAsia="zh-CN"/>
              </w:rPr>
              <w:t>5</w:t>
            </w:r>
            <w:r>
              <w:rPr>
                <w:rFonts w:hint="eastAsia" w:cs="宋体"/>
                <w:sz w:val="21"/>
                <w:szCs w:val="21"/>
                <w:highlight w:val="none"/>
              </w:rPr>
              <w:t>分）</w:t>
            </w:r>
          </w:p>
        </w:tc>
        <w:tc>
          <w:tcPr>
            <w:tcW w:w="6387"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C46B9E">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rPr>
              <w:t>比选申请人</w:t>
            </w:r>
            <w:r>
              <w:rPr>
                <w:rFonts w:hint="eastAsia" w:cs="宋体"/>
                <w:bCs/>
                <w:sz w:val="21"/>
                <w:szCs w:val="21"/>
                <w:highlight w:val="none"/>
                <w:lang w:val="zh-CN"/>
              </w:rPr>
              <w:t>202</w:t>
            </w:r>
            <w:r>
              <w:rPr>
                <w:rFonts w:hint="eastAsia" w:cs="宋体"/>
                <w:bCs/>
                <w:sz w:val="21"/>
                <w:szCs w:val="21"/>
                <w:highlight w:val="none"/>
                <w:lang w:val="en-US" w:eastAsia="zh-CN"/>
              </w:rPr>
              <w:t>5</w:t>
            </w:r>
            <w:r>
              <w:rPr>
                <w:rFonts w:hint="eastAsia" w:cs="宋体"/>
                <w:bCs/>
                <w:sz w:val="21"/>
                <w:szCs w:val="21"/>
                <w:highlight w:val="none"/>
                <w:lang w:val="zh-CN"/>
              </w:rPr>
              <w:t>年</w:t>
            </w:r>
            <w:r>
              <w:rPr>
                <w:rFonts w:hint="eastAsia" w:cs="宋体"/>
                <w:bCs/>
                <w:sz w:val="21"/>
                <w:szCs w:val="21"/>
                <w:highlight w:val="none"/>
              </w:rPr>
              <w:t>1</w:t>
            </w:r>
            <w:r>
              <w:rPr>
                <w:rFonts w:hint="eastAsia" w:cs="宋体"/>
                <w:bCs/>
                <w:sz w:val="21"/>
                <w:szCs w:val="21"/>
                <w:highlight w:val="none"/>
                <w:lang w:val="zh-CN"/>
              </w:rPr>
              <w:t>月1日至今每提供1个贵金属运输服务业绩得</w:t>
            </w:r>
            <w:r>
              <w:rPr>
                <w:rFonts w:hint="eastAsia" w:cs="宋体"/>
                <w:bCs/>
                <w:sz w:val="21"/>
                <w:szCs w:val="21"/>
                <w:highlight w:val="none"/>
              </w:rPr>
              <w:t>5</w:t>
            </w:r>
            <w:r>
              <w:rPr>
                <w:rFonts w:hint="eastAsia" w:cs="宋体"/>
                <w:bCs/>
                <w:sz w:val="21"/>
                <w:szCs w:val="21"/>
                <w:highlight w:val="none"/>
                <w:lang w:val="zh-CN"/>
              </w:rPr>
              <w:t>分，最高</w:t>
            </w:r>
            <w:r>
              <w:rPr>
                <w:rFonts w:hint="eastAsia" w:cs="宋体"/>
                <w:bCs/>
                <w:sz w:val="21"/>
                <w:szCs w:val="21"/>
                <w:highlight w:val="none"/>
              </w:rPr>
              <w:t>1</w:t>
            </w:r>
            <w:r>
              <w:rPr>
                <w:rFonts w:hint="eastAsia" w:cs="宋体"/>
                <w:bCs/>
                <w:sz w:val="21"/>
                <w:szCs w:val="21"/>
                <w:highlight w:val="none"/>
                <w:lang w:val="zh-CN"/>
              </w:rPr>
              <w:t>5分。</w:t>
            </w:r>
          </w:p>
          <w:p w14:paraId="0C3A38BF">
            <w:pPr>
              <w:pStyle w:val="48"/>
              <w:spacing w:before="0" w:beforeAutospacing="0" w:after="142" w:afterAutospacing="0" w:line="360" w:lineRule="auto"/>
              <w:ind w:firstLine="420"/>
              <w:rPr>
                <w:rFonts w:hint="eastAsia" w:cs="宋体"/>
                <w:bCs/>
                <w:sz w:val="21"/>
                <w:szCs w:val="21"/>
                <w:highlight w:val="none"/>
                <w:lang w:val="zh-CN"/>
              </w:rPr>
            </w:pPr>
            <w:r>
              <w:rPr>
                <w:rFonts w:hint="eastAsia" w:cs="宋体"/>
                <w:bCs/>
                <w:sz w:val="21"/>
                <w:szCs w:val="21"/>
                <w:highlight w:val="none"/>
                <w:lang w:val="zh-CN"/>
              </w:rPr>
              <w:t>注：提供合同复印件并加盖单位公章，业绩证明材料时间以合同签订时间为准。</w:t>
            </w:r>
          </w:p>
        </w:tc>
      </w:tr>
    </w:tbl>
    <w:p w14:paraId="3752ED9E">
      <w:pPr>
        <w:spacing w:line="360" w:lineRule="auto"/>
        <w:rPr>
          <w:rFonts w:hint="eastAsia" w:ascii="宋体" w:hAnsi="宋体"/>
          <w:szCs w:val="21"/>
          <w:highlight w:val="none"/>
        </w:rPr>
      </w:pPr>
    </w:p>
    <w:p w14:paraId="1B2F3E7D">
      <w:pPr>
        <w:pStyle w:val="2"/>
        <w:widowControl/>
        <w:numPr>
          <w:ilvl w:val="0"/>
          <w:numId w:val="52"/>
        </w:numPr>
        <w:tabs>
          <w:tab w:val="left" w:pos="720"/>
          <w:tab w:val="clear" w:pos="210"/>
        </w:tabs>
        <w:ind w:left="0" w:leftChars="0" w:firstLine="480" w:firstLineChars="200"/>
        <w:rPr>
          <w:b/>
          <w:highlight w:val="none"/>
        </w:rPr>
      </w:pPr>
      <w:bookmarkStart w:id="789" w:name="_Toc177660964"/>
      <w:bookmarkStart w:id="790" w:name="_Toc150512306"/>
      <w:bookmarkStart w:id="791" w:name="_Toc25073274"/>
      <w:r>
        <w:rPr>
          <w:highlight w:val="none"/>
        </w:rPr>
        <w:t>评审方法</w:t>
      </w:r>
      <w:bookmarkEnd w:id="772"/>
      <w:bookmarkEnd w:id="773"/>
      <w:bookmarkEnd w:id="774"/>
      <w:bookmarkEnd w:id="775"/>
      <w:bookmarkEnd w:id="776"/>
      <w:bookmarkEnd w:id="777"/>
      <w:bookmarkEnd w:id="778"/>
      <w:bookmarkEnd w:id="779"/>
      <w:bookmarkEnd w:id="780"/>
      <w:bookmarkEnd w:id="789"/>
      <w:bookmarkEnd w:id="790"/>
      <w:bookmarkEnd w:id="791"/>
    </w:p>
    <w:p w14:paraId="1CCD1255">
      <w:pPr>
        <w:pStyle w:val="19"/>
        <w:widowControl/>
        <w:ind w:left="0" w:leftChars="0" w:firstLine="480" w:firstLineChars="200"/>
        <w:rPr>
          <w:highlight w:val="none"/>
        </w:rPr>
      </w:pPr>
      <w:r>
        <w:rPr>
          <w:highlight w:val="none"/>
        </w:rPr>
        <w:t>本次评审采用综合评估法。评审委员会对满足比选文件实质性要求的比选申请文件，按照本章第 2.2 款规定的评分标准进行打分，并按得分由高到低顺序推荐中选候选人，或根据比选人授权直接确定中选人，但参选报价低于其成本的除外。综合评分相等时，以报价低的优先；其次以项目实施方案得分高的优先；项目实施方案也相等的，由比选人自行确定中选人。</w:t>
      </w:r>
    </w:p>
    <w:p w14:paraId="438B525A">
      <w:pPr>
        <w:pStyle w:val="2"/>
        <w:widowControl/>
        <w:numPr>
          <w:ilvl w:val="0"/>
          <w:numId w:val="52"/>
        </w:numPr>
        <w:tabs>
          <w:tab w:val="left" w:pos="720"/>
          <w:tab w:val="clear" w:pos="210"/>
        </w:tabs>
        <w:ind w:left="0" w:leftChars="0" w:firstLine="480" w:firstLineChars="200"/>
        <w:rPr>
          <w:b/>
          <w:highlight w:val="none"/>
        </w:rPr>
      </w:pPr>
      <w:bookmarkStart w:id="792" w:name="_Toc493516045"/>
      <w:bookmarkStart w:id="793" w:name="_Toc187552913"/>
      <w:bookmarkStart w:id="794" w:name="_Toc534192210"/>
      <w:bookmarkStart w:id="795" w:name="_Toc493515895"/>
      <w:bookmarkStart w:id="796" w:name="_Toc150512307"/>
      <w:bookmarkStart w:id="797" w:name="_Toc228357633"/>
      <w:bookmarkStart w:id="798" w:name="_Toc177660965"/>
      <w:bookmarkStart w:id="799" w:name="_Toc190769364"/>
      <w:bookmarkStart w:id="800" w:name="_Toc252224332"/>
      <w:bookmarkStart w:id="801" w:name="_Toc237951460"/>
      <w:bookmarkStart w:id="802" w:name="_Toc25073275"/>
      <w:bookmarkStart w:id="803" w:name="_Toc493516233"/>
      <w:bookmarkStart w:id="804" w:name="_Toc493516147"/>
      <w:r>
        <w:rPr>
          <w:highlight w:val="none"/>
        </w:rPr>
        <w:t>评审标准</w:t>
      </w:r>
      <w:bookmarkEnd w:id="792"/>
      <w:bookmarkEnd w:id="793"/>
      <w:bookmarkEnd w:id="794"/>
      <w:bookmarkEnd w:id="795"/>
      <w:bookmarkEnd w:id="796"/>
      <w:bookmarkEnd w:id="797"/>
      <w:bookmarkEnd w:id="798"/>
      <w:bookmarkEnd w:id="799"/>
      <w:bookmarkEnd w:id="800"/>
      <w:bookmarkEnd w:id="801"/>
      <w:bookmarkEnd w:id="802"/>
      <w:bookmarkEnd w:id="803"/>
      <w:bookmarkEnd w:id="804"/>
    </w:p>
    <w:p w14:paraId="577441FA">
      <w:pPr>
        <w:pStyle w:val="3"/>
        <w:widowControl/>
        <w:numPr>
          <w:ilvl w:val="0"/>
          <w:numId w:val="53"/>
        </w:numPr>
        <w:tabs>
          <w:tab w:val="left" w:pos="840"/>
          <w:tab w:val="clear" w:pos="210"/>
        </w:tabs>
        <w:ind w:left="0" w:leftChars="0" w:firstLine="480" w:firstLineChars="200"/>
        <w:rPr>
          <w:b/>
          <w:highlight w:val="none"/>
        </w:rPr>
      </w:pPr>
      <w:bookmarkStart w:id="805" w:name="_Toc252205896"/>
      <w:bookmarkStart w:id="806" w:name="_Toc190769365"/>
      <w:bookmarkStart w:id="807" w:name="_Toc252224333"/>
      <w:bookmarkStart w:id="808" w:name="_Toc237951461"/>
      <w:bookmarkStart w:id="809" w:name="_Toc252206094"/>
      <w:bookmarkStart w:id="810" w:name="_Toc228357634"/>
      <w:r>
        <w:rPr>
          <w:highlight w:val="none"/>
        </w:rPr>
        <w:t>初步评审标准</w:t>
      </w:r>
      <w:bookmarkEnd w:id="805"/>
      <w:bookmarkEnd w:id="806"/>
      <w:bookmarkEnd w:id="807"/>
      <w:bookmarkEnd w:id="808"/>
      <w:bookmarkEnd w:id="809"/>
      <w:bookmarkEnd w:id="810"/>
    </w:p>
    <w:p w14:paraId="03479970">
      <w:pPr>
        <w:pStyle w:val="19"/>
        <w:widowControl/>
        <w:numPr>
          <w:ilvl w:val="0"/>
          <w:numId w:val="54"/>
        </w:numPr>
        <w:tabs>
          <w:tab w:val="left" w:pos="1080"/>
          <w:tab w:val="clear" w:pos="210"/>
        </w:tabs>
        <w:ind w:left="0" w:leftChars="0" w:firstLine="480" w:firstLineChars="200"/>
        <w:rPr>
          <w:rFonts w:hint="eastAsia" w:ascii="宋体" w:hAnsi="宋体" w:eastAsia="宋体" w:cs="宋体"/>
          <w:b w:val="0"/>
          <w:highlight w:val="none"/>
        </w:rPr>
      </w:pPr>
      <w:r>
        <w:rPr>
          <w:highlight w:val="none"/>
        </w:rPr>
        <w:t>资格评审标准：见评审办法前附表。</w:t>
      </w:r>
    </w:p>
    <w:p w14:paraId="2484C07B">
      <w:pPr>
        <w:pStyle w:val="19"/>
        <w:widowControl/>
        <w:numPr>
          <w:ilvl w:val="0"/>
          <w:numId w:val="54"/>
        </w:numPr>
        <w:tabs>
          <w:tab w:val="left" w:pos="1080"/>
          <w:tab w:val="clear" w:pos="210"/>
        </w:tabs>
        <w:ind w:left="0" w:leftChars="0" w:firstLine="480" w:firstLineChars="200"/>
        <w:rPr>
          <w:rFonts w:hint="eastAsia" w:ascii="宋体" w:hAnsi="宋体" w:eastAsia="宋体" w:cs="宋体"/>
          <w:b w:val="0"/>
          <w:highlight w:val="none"/>
        </w:rPr>
      </w:pPr>
      <w:r>
        <w:rPr>
          <w:highlight w:val="none"/>
        </w:rPr>
        <w:t>形式评审标准：见评审办法前附表。</w:t>
      </w:r>
    </w:p>
    <w:p w14:paraId="0F152872">
      <w:pPr>
        <w:pStyle w:val="19"/>
        <w:widowControl/>
        <w:numPr>
          <w:ilvl w:val="0"/>
          <w:numId w:val="54"/>
        </w:numPr>
        <w:tabs>
          <w:tab w:val="left" w:pos="1080"/>
          <w:tab w:val="clear" w:pos="210"/>
        </w:tabs>
        <w:ind w:left="0" w:leftChars="0" w:firstLine="480" w:firstLineChars="200"/>
        <w:rPr>
          <w:b w:val="0"/>
          <w:highlight w:val="none"/>
        </w:rPr>
      </w:pPr>
      <w:r>
        <w:rPr>
          <w:highlight w:val="none"/>
        </w:rPr>
        <w:t>响应性评审标准：见评审办法前附表。</w:t>
      </w:r>
    </w:p>
    <w:p w14:paraId="0E091A4A">
      <w:pPr>
        <w:pStyle w:val="3"/>
        <w:widowControl/>
        <w:numPr>
          <w:ilvl w:val="0"/>
          <w:numId w:val="53"/>
        </w:numPr>
        <w:tabs>
          <w:tab w:val="left" w:pos="840"/>
          <w:tab w:val="clear" w:pos="210"/>
        </w:tabs>
        <w:ind w:left="0" w:leftChars="0" w:firstLine="480" w:firstLineChars="200"/>
        <w:rPr>
          <w:rFonts w:hint="eastAsia" w:ascii="宋体" w:hAnsi="宋体" w:eastAsia="宋体" w:cs="宋体"/>
          <w:b/>
          <w:highlight w:val="none"/>
        </w:rPr>
      </w:pPr>
      <w:bookmarkStart w:id="811" w:name="_Toc190769366"/>
      <w:bookmarkStart w:id="812" w:name="_Toc252205897"/>
      <w:bookmarkStart w:id="813" w:name="_Toc228357635"/>
      <w:bookmarkStart w:id="814" w:name="_Toc252206095"/>
      <w:bookmarkStart w:id="815" w:name="_Toc237951462"/>
      <w:bookmarkStart w:id="816" w:name="_Toc252224334"/>
      <w:r>
        <w:rPr>
          <w:highlight w:val="none"/>
        </w:rPr>
        <w:t>分值构成与评分标准</w:t>
      </w:r>
      <w:bookmarkEnd w:id="811"/>
      <w:bookmarkEnd w:id="812"/>
      <w:bookmarkEnd w:id="813"/>
      <w:bookmarkEnd w:id="814"/>
      <w:bookmarkEnd w:id="815"/>
      <w:bookmarkEnd w:id="816"/>
    </w:p>
    <w:p w14:paraId="2963BE5C">
      <w:pPr>
        <w:pStyle w:val="4"/>
        <w:widowControl/>
        <w:numPr>
          <w:ilvl w:val="0"/>
          <w:numId w:val="55"/>
        </w:numPr>
        <w:tabs>
          <w:tab w:val="left" w:pos="1021"/>
          <w:tab w:val="clear" w:pos="210"/>
        </w:tabs>
        <w:ind w:left="0" w:leftChars="0" w:firstLine="480" w:firstLineChars="200"/>
        <w:rPr>
          <w:rFonts w:hint="eastAsia" w:ascii="宋体" w:hAnsi="宋体" w:eastAsia="宋体" w:cs="宋体"/>
          <w:b/>
          <w:highlight w:val="none"/>
        </w:rPr>
      </w:pPr>
      <w:r>
        <w:rPr>
          <w:highlight w:val="none"/>
        </w:rPr>
        <w:t>分值构成</w:t>
      </w:r>
    </w:p>
    <w:p w14:paraId="3F0278A1">
      <w:pPr>
        <w:pStyle w:val="19"/>
        <w:widowControl/>
        <w:numPr>
          <w:ilvl w:val="0"/>
          <w:numId w:val="56"/>
        </w:numPr>
        <w:tabs>
          <w:tab w:val="left" w:pos="1080"/>
        </w:tabs>
        <w:topLinePunct w:val="0"/>
        <w:ind w:left="0" w:leftChars="0" w:firstLine="480" w:firstLineChars="200"/>
        <w:rPr>
          <w:rFonts w:hint="eastAsia" w:ascii="宋体" w:hAnsi="宋体" w:eastAsia="宋体" w:cs="宋体"/>
          <w:b w:val="0"/>
          <w:highlight w:val="none"/>
        </w:rPr>
      </w:pPr>
      <w:r>
        <w:rPr>
          <w:highlight w:val="none"/>
        </w:rPr>
        <w:t>报价部分：见评审办法前附表；</w:t>
      </w:r>
    </w:p>
    <w:p w14:paraId="43667C65">
      <w:pPr>
        <w:pStyle w:val="19"/>
        <w:widowControl/>
        <w:numPr>
          <w:ilvl w:val="0"/>
          <w:numId w:val="56"/>
        </w:numPr>
        <w:tabs>
          <w:tab w:val="left" w:pos="1080"/>
        </w:tabs>
        <w:topLinePunct w:val="0"/>
        <w:ind w:left="0" w:leftChars="0" w:firstLine="480" w:firstLineChars="200"/>
        <w:rPr>
          <w:rFonts w:hint="eastAsia" w:ascii="宋体" w:hAnsi="宋体" w:eastAsia="宋体" w:cs="宋体"/>
          <w:b w:val="0"/>
          <w:highlight w:val="none"/>
        </w:rPr>
      </w:pPr>
      <w:r>
        <w:rPr>
          <w:highlight w:val="none"/>
        </w:rPr>
        <w:t>项目团队部分：见评审办法前附表；</w:t>
      </w:r>
    </w:p>
    <w:p w14:paraId="1A600C43">
      <w:pPr>
        <w:pStyle w:val="19"/>
        <w:widowControl/>
        <w:numPr>
          <w:ilvl w:val="0"/>
          <w:numId w:val="56"/>
        </w:numPr>
        <w:tabs>
          <w:tab w:val="left" w:pos="1080"/>
        </w:tabs>
        <w:topLinePunct w:val="0"/>
        <w:ind w:left="0" w:leftChars="0" w:firstLine="480" w:firstLineChars="200"/>
        <w:rPr>
          <w:rFonts w:hint="eastAsia" w:ascii="宋体" w:hAnsi="宋体" w:eastAsia="宋体" w:cs="宋体"/>
          <w:b w:val="0"/>
          <w:highlight w:val="none"/>
        </w:rPr>
      </w:pPr>
      <w:r>
        <w:rPr>
          <w:highlight w:val="none"/>
        </w:rPr>
        <w:t>项目实施方案：见评审办法前附表；</w:t>
      </w:r>
    </w:p>
    <w:p w14:paraId="71404A31">
      <w:pPr>
        <w:pStyle w:val="19"/>
        <w:widowControl/>
        <w:numPr>
          <w:ilvl w:val="0"/>
          <w:numId w:val="56"/>
        </w:numPr>
        <w:tabs>
          <w:tab w:val="left" w:pos="1080"/>
        </w:tabs>
        <w:topLinePunct w:val="0"/>
        <w:ind w:left="0" w:leftChars="0" w:firstLine="480" w:firstLineChars="200"/>
        <w:rPr>
          <w:rFonts w:hint="eastAsia" w:ascii="宋体" w:hAnsi="宋体" w:eastAsia="宋体" w:cs="宋体"/>
          <w:b w:val="0"/>
          <w:highlight w:val="none"/>
        </w:rPr>
      </w:pPr>
      <w:r>
        <w:rPr>
          <w:highlight w:val="none"/>
        </w:rPr>
        <w:t>履约能力：见评审办法前附表。</w:t>
      </w:r>
    </w:p>
    <w:p w14:paraId="4C5305BF">
      <w:pPr>
        <w:pStyle w:val="4"/>
        <w:widowControl/>
        <w:numPr>
          <w:ilvl w:val="0"/>
          <w:numId w:val="55"/>
        </w:numPr>
        <w:tabs>
          <w:tab w:val="left" w:pos="1021"/>
          <w:tab w:val="clear" w:pos="210"/>
        </w:tabs>
        <w:ind w:left="0" w:leftChars="0" w:firstLine="480" w:firstLineChars="200"/>
        <w:rPr>
          <w:rFonts w:hint="eastAsia" w:ascii="宋体" w:hAnsi="宋体" w:eastAsia="宋体" w:cs="宋体"/>
          <w:b/>
          <w:highlight w:val="none"/>
        </w:rPr>
      </w:pPr>
      <w:r>
        <w:rPr>
          <w:highlight w:val="none"/>
        </w:rPr>
        <w:t>评分标准</w:t>
      </w:r>
    </w:p>
    <w:p w14:paraId="45287CF5">
      <w:pPr>
        <w:pStyle w:val="19"/>
        <w:widowControl/>
        <w:numPr>
          <w:ilvl w:val="0"/>
          <w:numId w:val="57"/>
        </w:numPr>
        <w:tabs>
          <w:tab w:val="left" w:pos="1080"/>
        </w:tabs>
        <w:topLinePunct w:val="0"/>
        <w:ind w:left="0" w:leftChars="0" w:firstLine="480" w:firstLineChars="200"/>
        <w:rPr>
          <w:rFonts w:hint="eastAsia" w:ascii="宋体" w:hAnsi="宋体" w:eastAsia="宋体" w:cs="宋体"/>
          <w:b w:val="0"/>
          <w:highlight w:val="none"/>
        </w:rPr>
      </w:pPr>
      <w:r>
        <w:rPr>
          <w:highlight w:val="none"/>
        </w:rPr>
        <w:t>报价部分：见评审办法前附表；</w:t>
      </w:r>
    </w:p>
    <w:p w14:paraId="504EF670">
      <w:pPr>
        <w:pStyle w:val="19"/>
        <w:widowControl/>
        <w:numPr>
          <w:ilvl w:val="0"/>
          <w:numId w:val="57"/>
        </w:numPr>
        <w:tabs>
          <w:tab w:val="left" w:pos="1080"/>
        </w:tabs>
        <w:topLinePunct w:val="0"/>
        <w:ind w:left="0" w:leftChars="0" w:firstLine="480" w:firstLineChars="200"/>
        <w:rPr>
          <w:rFonts w:hint="eastAsia" w:ascii="宋体" w:hAnsi="宋体" w:eastAsia="宋体" w:cs="宋体"/>
          <w:b w:val="0"/>
          <w:highlight w:val="none"/>
        </w:rPr>
      </w:pPr>
      <w:r>
        <w:rPr>
          <w:highlight w:val="none"/>
        </w:rPr>
        <w:t>项目团队部分：见评审办法前附表；</w:t>
      </w:r>
    </w:p>
    <w:p w14:paraId="441033C1">
      <w:pPr>
        <w:pStyle w:val="19"/>
        <w:widowControl/>
        <w:numPr>
          <w:ilvl w:val="0"/>
          <w:numId w:val="57"/>
        </w:numPr>
        <w:tabs>
          <w:tab w:val="left" w:pos="1080"/>
        </w:tabs>
        <w:topLinePunct w:val="0"/>
        <w:ind w:left="0" w:leftChars="0" w:firstLine="480" w:firstLineChars="200"/>
        <w:rPr>
          <w:rFonts w:hint="eastAsia" w:ascii="宋体" w:hAnsi="宋体" w:eastAsia="宋体" w:cs="宋体"/>
          <w:b w:val="0"/>
          <w:highlight w:val="none"/>
        </w:rPr>
      </w:pPr>
      <w:r>
        <w:rPr>
          <w:highlight w:val="none"/>
        </w:rPr>
        <w:t>项目实施方案：见评审办法前附表；</w:t>
      </w:r>
    </w:p>
    <w:p w14:paraId="2F8622D0">
      <w:pPr>
        <w:pStyle w:val="19"/>
        <w:widowControl/>
        <w:numPr>
          <w:ilvl w:val="0"/>
          <w:numId w:val="57"/>
        </w:numPr>
        <w:tabs>
          <w:tab w:val="left" w:pos="1080"/>
        </w:tabs>
        <w:topLinePunct w:val="0"/>
        <w:ind w:left="0" w:leftChars="0" w:firstLine="480" w:firstLineChars="200"/>
        <w:rPr>
          <w:rFonts w:hint="eastAsia" w:ascii="宋体" w:hAnsi="宋体" w:eastAsia="宋体" w:cs="宋体"/>
          <w:b w:val="0"/>
          <w:highlight w:val="none"/>
        </w:rPr>
      </w:pPr>
      <w:r>
        <w:rPr>
          <w:highlight w:val="none"/>
        </w:rPr>
        <w:t>履约能力：见评审办法前附表。</w:t>
      </w:r>
    </w:p>
    <w:p w14:paraId="35FBA17C">
      <w:pPr>
        <w:pStyle w:val="2"/>
        <w:widowControl/>
        <w:numPr>
          <w:ilvl w:val="0"/>
          <w:numId w:val="52"/>
        </w:numPr>
        <w:tabs>
          <w:tab w:val="left" w:pos="720"/>
          <w:tab w:val="clear" w:pos="210"/>
        </w:tabs>
        <w:ind w:left="0" w:leftChars="0" w:firstLine="480" w:firstLineChars="200"/>
        <w:rPr>
          <w:b/>
          <w:highlight w:val="none"/>
        </w:rPr>
      </w:pPr>
      <w:bookmarkStart w:id="817" w:name="_Toc177660966"/>
      <w:bookmarkStart w:id="818" w:name="_Toc493515896"/>
      <w:bookmarkStart w:id="819" w:name="_Toc150512308"/>
      <w:bookmarkStart w:id="820" w:name="_Toc187552914"/>
      <w:bookmarkStart w:id="821" w:name="_Toc493516046"/>
      <w:bookmarkStart w:id="822" w:name="_Toc237951463"/>
      <w:bookmarkStart w:id="823" w:name="_Toc252224335"/>
      <w:bookmarkStart w:id="824" w:name="_Toc493516234"/>
      <w:bookmarkStart w:id="825" w:name="_Toc228357636"/>
      <w:bookmarkStart w:id="826" w:name="_Toc493516148"/>
      <w:bookmarkStart w:id="827" w:name="_Toc25073276"/>
      <w:bookmarkStart w:id="828" w:name="_Toc534192211"/>
      <w:bookmarkStart w:id="829" w:name="_Toc190769367"/>
      <w:r>
        <w:rPr>
          <w:highlight w:val="none"/>
        </w:rPr>
        <w:t>评审程序</w:t>
      </w:r>
      <w:bookmarkEnd w:id="817"/>
      <w:bookmarkEnd w:id="818"/>
      <w:bookmarkEnd w:id="819"/>
      <w:bookmarkEnd w:id="820"/>
      <w:bookmarkEnd w:id="821"/>
      <w:bookmarkEnd w:id="822"/>
      <w:bookmarkEnd w:id="823"/>
      <w:bookmarkEnd w:id="824"/>
      <w:bookmarkEnd w:id="825"/>
      <w:bookmarkEnd w:id="826"/>
      <w:bookmarkEnd w:id="827"/>
      <w:bookmarkEnd w:id="828"/>
      <w:bookmarkEnd w:id="829"/>
    </w:p>
    <w:p w14:paraId="76DD6EB8">
      <w:pPr>
        <w:pStyle w:val="3"/>
        <w:widowControl/>
        <w:numPr>
          <w:ilvl w:val="0"/>
          <w:numId w:val="58"/>
        </w:numPr>
        <w:tabs>
          <w:tab w:val="left" w:pos="420"/>
          <w:tab w:val="clear" w:pos="210"/>
        </w:tabs>
        <w:ind w:left="839" w:leftChars="0" w:hanging="420" w:firstLineChars="0"/>
        <w:rPr>
          <w:rFonts w:hint="eastAsia" w:ascii="宋体" w:hAnsi="宋体" w:eastAsia="宋体" w:cs="宋体"/>
          <w:b/>
          <w:highlight w:val="none"/>
        </w:rPr>
      </w:pPr>
      <w:bookmarkStart w:id="830" w:name="_Toc252205899"/>
      <w:bookmarkStart w:id="831" w:name="_Toc252206097"/>
      <w:bookmarkStart w:id="832" w:name="_Toc237951464"/>
      <w:bookmarkStart w:id="833" w:name="_Toc190769368"/>
      <w:bookmarkStart w:id="834" w:name="_Toc252224336"/>
      <w:bookmarkStart w:id="835" w:name="_Toc228357637"/>
      <w:r>
        <w:rPr>
          <w:highlight w:val="none"/>
        </w:rPr>
        <w:t>初步评审</w:t>
      </w:r>
      <w:bookmarkEnd w:id="830"/>
      <w:bookmarkEnd w:id="831"/>
      <w:bookmarkEnd w:id="832"/>
      <w:bookmarkEnd w:id="833"/>
      <w:bookmarkEnd w:id="834"/>
      <w:bookmarkEnd w:id="835"/>
    </w:p>
    <w:p w14:paraId="4FE1A9D6">
      <w:pPr>
        <w:pStyle w:val="19"/>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评审委员会可以要求比选申请人提交第二章“比选申请人须知”规定的有关证明和证件的原件，以便核验。评审委员会依据本章第 2.1 款规定的标准对比选申请文件进行初步评审。有一项不符合评审标准的，评审委员会应当否决其参选。</w:t>
      </w:r>
    </w:p>
    <w:p w14:paraId="165BE816">
      <w:pPr>
        <w:pStyle w:val="19"/>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比选申请人有以下情形之一的，评审委员会应当否决其参选：</w:t>
      </w:r>
    </w:p>
    <w:p w14:paraId="3C6D314D">
      <w:pPr>
        <w:pStyle w:val="19"/>
        <w:widowControl/>
        <w:numPr>
          <w:ilvl w:val="0"/>
          <w:numId w:val="60"/>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比选申请文件没有对比选文件的实质性要求和条件作出响应，或者对比选文件的偏差超出比选文件规定的偏差范围或最高项数；</w:t>
      </w:r>
    </w:p>
    <w:p w14:paraId="4470B99C">
      <w:pPr>
        <w:pStyle w:val="19"/>
        <w:widowControl/>
        <w:numPr>
          <w:ilvl w:val="0"/>
          <w:numId w:val="60"/>
        </w:numPr>
        <w:tabs>
          <w:tab w:val="left" w:pos="1080"/>
        </w:tabs>
        <w:topLinePunct w:val="0"/>
        <w:ind w:left="0" w:leftChars="0" w:firstLine="480" w:firstLineChars="200"/>
        <w:rPr>
          <w:rFonts w:hint="eastAsia" w:ascii="宋体" w:hAnsi="宋体" w:eastAsia="宋体" w:cs="宋体"/>
          <w:b w:val="0"/>
          <w:highlight w:val="none"/>
        </w:rPr>
      </w:pPr>
      <w:r>
        <w:rPr>
          <w:highlight w:val="none"/>
        </w:rPr>
        <w:t>有串通比选、弄虚作假、行贿等违法行为。</w:t>
      </w:r>
    </w:p>
    <w:p w14:paraId="08654CAE">
      <w:pPr>
        <w:pStyle w:val="19"/>
        <w:widowControl/>
        <w:numPr>
          <w:ilvl w:val="0"/>
          <w:numId w:val="59"/>
        </w:numPr>
        <w:tabs>
          <w:tab w:val="left" w:pos="1080"/>
          <w:tab w:val="clear" w:pos="210"/>
        </w:tabs>
        <w:ind w:left="0" w:leftChars="0" w:firstLine="480" w:firstLineChars="200"/>
        <w:rPr>
          <w:rFonts w:hint="eastAsia" w:ascii="宋体" w:hAnsi="宋体" w:eastAsia="宋体" w:cs="宋体"/>
          <w:b w:val="0"/>
          <w:highlight w:val="none"/>
        </w:rPr>
      </w:pPr>
      <w:r>
        <w:rPr>
          <w:highlight w:val="none"/>
        </w:rPr>
        <w:t>参选报价有算术错误及其他错误的，评审委员会按以下原则要求比选申请人对参选报价进行修正，并要求比选申请人书面澄清确认。比选申请人拒不澄清确认的，评审委员会应当否决其比选：</w:t>
      </w:r>
    </w:p>
    <w:p w14:paraId="7A02D109">
      <w:pPr>
        <w:pStyle w:val="19"/>
        <w:widowControl/>
        <w:numPr>
          <w:ilvl w:val="0"/>
          <w:numId w:val="61"/>
        </w:numPr>
        <w:tabs>
          <w:tab w:val="left" w:pos="1080"/>
        </w:tabs>
        <w:topLinePunct w:val="0"/>
        <w:ind w:left="0" w:leftChars="0" w:firstLine="480" w:firstLineChars="200"/>
        <w:rPr>
          <w:rFonts w:hint="eastAsia" w:ascii="宋体" w:hAnsi="宋体" w:eastAsia="宋体" w:cs="宋体"/>
          <w:b w:val="0"/>
          <w:highlight w:val="none"/>
        </w:rPr>
      </w:pPr>
      <w:r>
        <w:rPr>
          <w:highlight w:val="none"/>
        </w:rPr>
        <w:t>比选申请文件中的大写金额与小写金额不一致的，以大写金额为准；</w:t>
      </w:r>
    </w:p>
    <w:p w14:paraId="5CB8AFCD">
      <w:pPr>
        <w:pStyle w:val="19"/>
        <w:widowControl/>
        <w:numPr>
          <w:ilvl w:val="0"/>
          <w:numId w:val="61"/>
        </w:numPr>
        <w:tabs>
          <w:tab w:val="left" w:pos="1080"/>
        </w:tabs>
        <w:topLinePunct w:val="0"/>
        <w:ind w:left="0" w:leftChars="0" w:firstLine="480" w:firstLineChars="200"/>
        <w:rPr>
          <w:rFonts w:hint="eastAsia" w:ascii="宋体" w:hAnsi="宋体" w:eastAsia="宋体" w:cs="宋体"/>
          <w:b w:val="0"/>
          <w:highlight w:val="none"/>
        </w:rPr>
      </w:pPr>
      <w:r>
        <w:rPr>
          <w:highlight w:val="none"/>
        </w:rPr>
        <w:t>总价金额与单价金额不一致的，以单价金额为准，但单价金额小数点有明显错误的除外。</w:t>
      </w:r>
    </w:p>
    <w:p w14:paraId="4D28C100">
      <w:pPr>
        <w:pStyle w:val="3"/>
        <w:widowControl/>
        <w:numPr>
          <w:ilvl w:val="0"/>
          <w:numId w:val="58"/>
        </w:numPr>
        <w:tabs>
          <w:tab w:val="left" w:pos="420"/>
          <w:tab w:val="clear" w:pos="210"/>
        </w:tabs>
        <w:ind w:left="839" w:leftChars="0" w:hanging="420" w:firstLineChars="0"/>
        <w:rPr>
          <w:b/>
          <w:highlight w:val="none"/>
        </w:rPr>
      </w:pPr>
      <w:bookmarkStart w:id="836" w:name="_Toc190769369"/>
      <w:bookmarkStart w:id="837" w:name="_Toc252206098"/>
      <w:bookmarkStart w:id="838" w:name="_Toc252205900"/>
      <w:bookmarkStart w:id="839" w:name="_Toc228357638"/>
      <w:bookmarkStart w:id="840" w:name="_Toc252224337"/>
      <w:bookmarkStart w:id="841" w:name="_Toc237951465"/>
      <w:r>
        <w:rPr>
          <w:highlight w:val="none"/>
        </w:rPr>
        <w:t>详细评审</w:t>
      </w:r>
      <w:bookmarkEnd w:id="836"/>
      <w:bookmarkEnd w:id="837"/>
      <w:bookmarkEnd w:id="838"/>
      <w:bookmarkEnd w:id="839"/>
      <w:bookmarkEnd w:id="840"/>
      <w:bookmarkEnd w:id="841"/>
    </w:p>
    <w:p w14:paraId="63BBDA24">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评审委员会按本章第 2.2 款规定的量化因素和分值进行打分，并计算出综合评估得分。</w:t>
      </w:r>
    </w:p>
    <w:p w14:paraId="711C863D">
      <w:pPr>
        <w:pStyle w:val="19"/>
        <w:widowControl/>
        <w:numPr>
          <w:ilvl w:val="0"/>
          <w:numId w:val="63"/>
        </w:numPr>
        <w:tabs>
          <w:tab w:val="left" w:pos="1080"/>
        </w:tabs>
        <w:topLinePunct w:val="0"/>
        <w:ind w:left="0" w:leftChars="0" w:firstLine="480" w:firstLineChars="200"/>
        <w:rPr>
          <w:rFonts w:hint="eastAsia" w:ascii="宋体" w:hAnsi="宋体" w:eastAsia="宋体" w:cs="宋体"/>
          <w:b w:val="0"/>
          <w:highlight w:val="none"/>
        </w:rPr>
      </w:pPr>
      <w:r>
        <w:rPr>
          <w:highlight w:val="none"/>
        </w:rPr>
        <w:t>按本章第 2.2.2（1）目规定的评审因素和分值对报价计算出得分 A；</w:t>
      </w:r>
    </w:p>
    <w:p w14:paraId="69478BC8">
      <w:pPr>
        <w:pStyle w:val="19"/>
        <w:widowControl/>
        <w:numPr>
          <w:ilvl w:val="0"/>
          <w:numId w:val="63"/>
        </w:numPr>
        <w:tabs>
          <w:tab w:val="left" w:pos="1080"/>
        </w:tabs>
        <w:topLinePunct w:val="0"/>
        <w:ind w:left="0" w:leftChars="0" w:firstLine="480" w:firstLineChars="200"/>
        <w:rPr>
          <w:rFonts w:hint="eastAsia" w:ascii="宋体" w:hAnsi="宋体" w:eastAsia="宋体" w:cs="宋体"/>
          <w:b w:val="0"/>
          <w:highlight w:val="none"/>
        </w:rPr>
      </w:pPr>
      <w:r>
        <w:rPr>
          <w:highlight w:val="none"/>
        </w:rPr>
        <w:t>按本章第 2.2.2（2）目规定的评审因素和分值对项目团队计算出得分 B；</w:t>
      </w:r>
    </w:p>
    <w:p w14:paraId="1166CFDB">
      <w:pPr>
        <w:pStyle w:val="19"/>
        <w:widowControl/>
        <w:numPr>
          <w:ilvl w:val="0"/>
          <w:numId w:val="63"/>
        </w:numPr>
        <w:tabs>
          <w:tab w:val="left" w:pos="1080"/>
        </w:tabs>
        <w:topLinePunct w:val="0"/>
        <w:ind w:left="0" w:leftChars="0" w:firstLine="480" w:firstLineChars="200"/>
        <w:rPr>
          <w:rFonts w:hint="eastAsia" w:ascii="宋体" w:hAnsi="宋体" w:eastAsia="宋体" w:cs="宋体"/>
          <w:b w:val="0"/>
          <w:highlight w:val="none"/>
        </w:rPr>
      </w:pPr>
      <w:r>
        <w:rPr>
          <w:highlight w:val="none"/>
        </w:rPr>
        <w:t>按本章第 2.2.2（3）目规定的评审因素和分值对项目实施方案计算出得分 C；</w:t>
      </w:r>
    </w:p>
    <w:p w14:paraId="6DE507AA">
      <w:pPr>
        <w:pStyle w:val="19"/>
        <w:widowControl/>
        <w:numPr>
          <w:ilvl w:val="0"/>
          <w:numId w:val="63"/>
        </w:numPr>
        <w:tabs>
          <w:tab w:val="left" w:pos="1080"/>
        </w:tabs>
        <w:topLinePunct w:val="0"/>
        <w:ind w:left="0" w:leftChars="0" w:firstLine="480" w:firstLineChars="200"/>
        <w:rPr>
          <w:rFonts w:hint="eastAsia" w:ascii="宋体" w:hAnsi="宋体" w:eastAsia="宋体" w:cs="宋体"/>
          <w:b w:val="0"/>
          <w:highlight w:val="none"/>
        </w:rPr>
      </w:pPr>
      <w:r>
        <w:rPr>
          <w:highlight w:val="none"/>
        </w:rPr>
        <w:t>按本章第 2.2.2（4）目规定的评审因素和分值对履约能力计算出得分 D；</w:t>
      </w:r>
    </w:p>
    <w:p w14:paraId="202C850F">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评分分值计算保留小数点后两位，小数点后第三位“四舍五入”。</w:t>
      </w:r>
    </w:p>
    <w:p w14:paraId="78B1A10C">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比选申请人得分=A+B+C+D。</w:t>
      </w:r>
    </w:p>
    <w:p w14:paraId="0C50FD7A">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比选对象的确定：见评审办法前附表。</w:t>
      </w:r>
    </w:p>
    <w:p w14:paraId="0BD59D2A">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评审委员会所有成员集中与比选对象逐一进行谈判，形成《谈判纪要》。在谈判中，谈判的任何一方不得透露与谈判有关的其他比选对象的价格等信息。</w:t>
      </w:r>
    </w:p>
    <w:p w14:paraId="2EB8F82C">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比结束后，评审委员会应当要求所有参加谈判的比选对象在规定时间内进行最后报价。评审委员会根据比选规则和比选对象最后报价进行最终评审，将比选对象最后报价替换首次详细评审的首次报价得出最终报价得分，其他评分项不变，进行最终评分。形成评审报告，确定中选候选人排名。</w:t>
      </w:r>
    </w:p>
    <w:p w14:paraId="2F359D57">
      <w:pPr>
        <w:pStyle w:val="19"/>
        <w:widowControl/>
        <w:numPr>
          <w:ilvl w:val="0"/>
          <w:numId w:val="62"/>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发现比选申请人的报价明显低于其他参选报价，使得其参选报价可能低于其个别成本的，应当要求该比选申请人作出书面说明并提供相应的证明材料。比选申请人不能合理说明或者不能提供相应证明材料的，评审委员会应当认定该比选申请人以低于成本报价竞标，并否决其参选。</w:t>
      </w:r>
    </w:p>
    <w:p w14:paraId="12DCA4C2">
      <w:pPr>
        <w:pStyle w:val="3"/>
        <w:widowControl/>
        <w:numPr>
          <w:ilvl w:val="0"/>
          <w:numId w:val="58"/>
        </w:numPr>
        <w:tabs>
          <w:tab w:val="left" w:pos="420"/>
          <w:tab w:val="clear" w:pos="210"/>
        </w:tabs>
        <w:ind w:left="839" w:leftChars="0" w:hanging="420" w:firstLineChars="0"/>
        <w:rPr>
          <w:b/>
          <w:highlight w:val="none"/>
        </w:rPr>
      </w:pPr>
      <w:bookmarkStart w:id="842" w:name="_Toc190769370"/>
      <w:bookmarkStart w:id="843" w:name="_Toc252224338"/>
      <w:bookmarkStart w:id="844" w:name="_Toc237951466"/>
      <w:bookmarkStart w:id="845" w:name="_Toc252206099"/>
      <w:bookmarkStart w:id="846" w:name="_Toc228357639"/>
      <w:bookmarkStart w:id="847" w:name="_Toc252205901"/>
      <w:r>
        <w:rPr>
          <w:highlight w:val="none"/>
        </w:rPr>
        <w:t>比选申请文件的澄清</w:t>
      </w:r>
      <w:bookmarkEnd w:id="842"/>
      <w:bookmarkEnd w:id="843"/>
      <w:bookmarkEnd w:id="844"/>
      <w:bookmarkEnd w:id="845"/>
      <w:bookmarkEnd w:id="846"/>
      <w:bookmarkEnd w:id="847"/>
    </w:p>
    <w:p w14:paraId="55A045C5">
      <w:pPr>
        <w:pStyle w:val="19"/>
        <w:widowControl/>
        <w:numPr>
          <w:ilvl w:val="0"/>
          <w:numId w:val="64"/>
        </w:numPr>
        <w:tabs>
          <w:tab w:val="left" w:pos="1080"/>
          <w:tab w:val="clear" w:pos="210"/>
        </w:tabs>
        <w:ind w:left="0" w:leftChars="0" w:firstLine="480" w:firstLineChars="200"/>
        <w:rPr>
          <w:b w:val="0"/>
          <w:highlight w:val="none"/>
        </w:rPr>
      </w:pPr>
      <w:r>
        <w:rPr>
          <w:highlight w:val="none"/>
        </w:rPr>
        <w:t>在评审过程中，评审委员会可以书面形式要求比选申请人对比选申请文件中含义不明确、对同类问题表述不一致或者有明显文字和计算错误的内容作必要的澄清、说明或补正。澄清、说明或补正应以书面方式进行。评审委员会不接受比选申请人主动提出的澄清、说明或补正。</w:t>
      </w:r>
    </w:p>
    <w:p w14:paraId="534AAC61">
      <w:pPr>
        <w:pStyle w:val="19"/>
        <w:widowControl/>
        <w:numPr>
          <w:ilvl w:val="0"/>
          <w:numId w:val="64"/>
        </w:numPr>
        <w:tabs>
          <w:tab w:val="left" w:pos="1080"/>
          <w:tab w:val="clear" w:pos="210"/>
        </w:tabs>
        <w:ind w:left="0" w:leftChars="0" w:firstLine="480" w:firstLineChars="200"/>
        <w:rPr>
          <w:rFonts w:hint="eastAsia" w:ascii="宋体" w:hAnsi="宋体" w:eastAsia="宋体" w:cs="宋体"/>
          <w:b w:val="0"/>
          <w:highlight w:val="none"/>
        </w:rPr>
      </w:pPr>
      <w:r>
        <w:rPr>
          <w:highlight w:val="none"/>
        </w:rPr>
        <w:t>澄清、说明或补正不得超出比选申请文件的范围且不得改变比选申请文件的实质性内容，并构成比选申请文件的组成部分。</w:t>
      </w:r>
    </w:p>
    <w:p w14:paraId="5A623947">
      <w:pPr>
        <w:pStyle w:val="19"/>
        <w:widowControl/>
        <w:numPr>
          <w:ilvl w:val="0"/>
          <w:numId w:val="64"/>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评审委员会对比选申请人提交的澄清、说明或补正有疑问的，可以要求比选申请人进一步澄清、说明或补正，直至满足评审委员会的要求。</w:t>
      </w:r>
    </w:p>
    <w:p w14:paraId="0BDFECDC">
      <w:pPr>
        <w:pStyle w:val="3"/>
        <w:widowControl/>
        <w:numPr>
          <w:ilvl w:val="0"/>
          <w:numId w:val="58"/>
        </w:numPr>
        <w:tabs>
          <w:tab w:val="left" w:pos="420"/>
          <w:tab w:val="clear" w:pos="210"/>
        </w:tabs>
        <w:ind w:left="839" w:leftChars="0" w:hanging="420" w:firstLineChars="0"/>
        <w:rPr>
          <w:b/>
          <w:highlight w:val="none"/>
        </w:rPr>
      </w:pPr>
      <w:bookmarkStart w:id="848" w:name="_Toc252224339"/>
      <w:bookmarkStart w:id="849" w:name="_Toc228357640"/>
      <w:bookmarkStart w:id="850" w:name="_Toc252205902"/>
      <w:bookmarkStart w:id="851" w:name="_Toc237951467"/>
      <w:bookmarkStart w:id="852" w:name="_Toc252206100"/>
      <w:bookmarkStart w:id="853" w:name="_Toc190769371"/>
      <w:r>
        <w:rPr>
          <w:highlight w:val="none"/>
        </w:rPr>
        <w:t>评审结果</w:t>
      </w:r>
      <w:bookmarkEnd w:id="848"/>
      <w:bookmarkEnd w:id="849"/>
      <w:bookmarkEnd w:id="850"/>
      <w:bookmarkEnd w:id="851"/>
      <w:bookmarkEnd w:id="852"/>
      <w:bookmarkEnd w:id="853"/>
    </w:p>
    <w:p w14:paraId="04220C7C">
      <w:pPr>
        <w:pStyle w:val="19"/>
        <w:widowControl/>
        <w:numPr>
          <w:ilvl w:val="0"/>
          <w:numId w:val="65"/>
        </w:numPr>
        <w:tabs>
          <w:tab w:val="left" w:pos="1080"/>
          <w:tab w:val="clear" w:pos="210"/>
        </w:tabs>
        <w:ind w:left="0" w:leftChars="0" w:firstLine="480" w:firstLineChars="200"/>
        <w:rPr>
          <w:rFonts w:hint="eastAsia" w:ascii="宋体" w:hAnsi="宋体" w:eastAsia="宋体" w:cs="宋体"/>
          <w:b w:val="0"/>
          <w:highlight w:val="none"/>
        </w:rPr>
      </w:pPr>
      <w:r>
        <w:rPr>
          <w:highlight w:val="none"/>
        </w:rPr>
        <w:t>除第二章“比选申请人须知”前附表授权直接确定中选人外，评审委员会按照得分由高到低的顺序推荐中选候选人，并标明排序。</w:t>
      </w:r>
    </w:p>
    <w:p w14:paraId="47E20D2A">
      <w:pPr>
        <w:pStyle w:val="19"/>
        <w:widowControl/>
        <w:numPr>
          <w:ilvl w:val="0"/>
          <w:numId w:val="65"/>
        </w:numPr>
        <w:tabs>
          <w:tab w:val="left" w:pos="1080"/>
          <w:tab w:val="clear" w:pos="210"/>
        </w:tabs>
        <w:ind w:left="0" w:leftChars="0" w:firstLine="480" w:firstLineChars="200"/>
        <w:rPr>
          <w:rFonts w:hint="eastAsia" w:ascii="宋体" w:hAnsi="宋体" w:eastAsia="宋体" w:cs="宋体"/>
          <w:b w:val="0"/>
          <w:highlight w:val="none"/>
        </w:rPr>
      </w:pPr>
      <w:r>
        <w:rPr>
          <w:highlight w:val="none"/>
        </w:rPr>
        <w:t>评审委员会完成评审后，应当向比选人提交书面评审报告和中选候选人名单。</w:t>
      </w:r>
    </w:p>
    <w:p w14:paraId="5D352AD3">
      <w:pPr>
        <w:spacing w:line="360" w:lineRule="auto"/>
        <w:jc w:val="center"/>
        <w:outlineLvl w:val="9"/>
        <w:rPr>
          <w:rFonts w:hint="eastAsia" w:ascii="宋体" w:hAnsi="宋体" w:eastAsia="宋体" w:cs="Times New Roman"/>
          <w:sz w:val="24"/>
          <w:szCs w:val="24"/>
          <w:highlight w:val="none"/>
          <w:lang w:val="en-US" w:eastAsia="zh-CN" w:bidi="ar-SA"/>
        </w:rPr>
      </w:pPr>
      <w:r>
        <w:rPr>
          <w:rFonts w:ascii="宋体" w:hAnsi="宋体" w:eastAsia="宋体" w:cs="Times New Roman"/>
          <w:sz w:val="24"/>
          <w:szCs w:val="21"/>
          <w:highlight w:val="none"/>
          <w:lang w:val="en-US" w:eastAsia="zh-CN" w:bidi="ar-SA"/>
        </w:rPr>
        <w:br w:type="page"/>
      </w:r>
      <w:bookmarkStart w:id="854" w:name="_Toc231977633"/>
      <w:bookmarkStart w:id="855" w:name="_Toc33284317"/>
      <w:bookmarkStart w:id="856" w:name="_Toc219267865"/>
      <w:r>
        <w:rPr>
          <w:rFonts w:hint="eastAsia" w:ascii="宋体" w:hAnsi="宋体" w:eastAsia="宋体" w:cs="Times New Roman"/>
          <w:sz w:val="24"/>
          <w:szCs w:val="24"/>
          <w:highlight w:val="none"/>
          <w:lang w:val="en-US" w:eastAsia="zh-CN" w:bidi="ar-SA"/>
        </w:rPr>
        <w:t xml:space="preserve"> </w:t>
      </w:r>
    </w:p>
    <w:p w14:paraId="079779AE">
      <w:pPr>
        <w:keepNext/>
        <w:keepLines/>
        <w:spacing w:before="260" w:after="260" w:line="360" w:lineRule="auto"/>
        <w:jc w:val="center"/>
        <w:outlineLvl w:val="9"/>
        <w:rPr>
          <w:rFonts w:hint="eastAsia" w:ascii="宋体" w:hAnsi="宋体" w:eastAsia="宋体" w:cs="Times New Roman"/>
          <w:b w:val="0"/>
          <w:bCs w:val="0"/>
          <w:sz w:val="32"/>
          <w:szCs w:val="32"/>
          <w:highlight w:val="none"/>
          <w:lang w:val="en-US" w:eastAsia="zh-CN" w:bidi="ar-SA"/>
        </w:rPr>
      </w:pPr>
      <w:bookmarkStart w:id="857" w:name="_Toc177660967"/>
      <w:r>
        <w:rPr>
          <w:rFonts w:hint="eastAsia" w:ascii="宋体" w:hAnsi="宋体" w:eastAsia="宋体" w:cs="Times New Roman"/>
          <w:b/>
          <w:bCs/>
          <w:sz w:val="32"/>
          <w:szCs w:val="32"/>
          <w:highlight w:val="none"/>
          <w:lang w:val="en-US" w:eastAsia="zh-CN" w:bidi="ar-SA"/>
        </w:rPr>
        <w:t>第四章 合同条款及格式</w:t>
      </w:r>
      <w:bookmarkEnd w:id="854"/>
      <w:bookmarkEnd w:id="855"/>
      <w:bookmarkEnd w:id="856"/>
      <w:bookmarkEnd w:id="857"/>
    </w:p>
    <w:p w14:paraId="230FF4D1">
      <w:pPr>
        <w:spacing w:line="480" w:lineRule="auto"/>
        <w:ind w:firstLine="577" w:firstLineChars="200"/>
        <w:jc w:val="center"/>
        <w:outlineLvl w:val="0"/>
        <w:rPr>
          <w:rFonts w:hint="eastAsia" w:ascii="宋体" w:hAnsi="宋体" w:eastAsia="宋体" w:cs="Times New Roman"/>
          <w:b/>
          <w:bCs/>
          <w:w w:val="90"/>
          <w:sz w:val="32"/>
          <w:szCs w:val="32"/>
          <w:highlight w:val="none"/>
          <w:lang w:val="en-US" w:eastAsia="zh-CN" w:bidi="ar-SA"/>
        </w:rPr>
      </w:pPr>
      <w:bookmarkStart w:id="858" w:name="_Toc33284322"/>
      <w:bookmarkStart w:id="859" w:name="_Toc231977638"/>
      <w:bookmarkStart w:id="860" w:name="_Toc219268023"/>
      <w:r>
        <w:rPr>
          <w:rFonts w:hint="eastAsia" w:ascii="宋体" w:hAnsi="宋体" w:cs="Times New Roman"/>
          <w:b/>
          <w:bCs/>
          <w:w w:val="90"/>
          <w:sz w:val="32"/>
          <w:szCs w:val="32"/>
          <w:highlight w:val="none"/>
          <w:lang w:val="en-US" w:eastAsia="zh-CN" w:bidi="ar-SA"/>
        </w:rPr>
        <w:t>四川瑞华合纵实业有限公司成品铟物流运输服务采购项目（第二次）</w:t>
      </w:r>
    </w:p>
    <w:p w14:paraId="230AACC6">
      <w:pPr>
        <w:spacing w:line="480" w:lineRule="auto"/>
        <w:ind w:firstLine="577" w:firstLineChars="200"/>
        <w:jc w:val="center"/>
        <w:outlineLvl w:val="9"/>
        <w:rPr>
          <w:rFonts w:hint="eastAsia" w:ascii="宋体" w:hAnsi="宋体" w:eastAsia="宋体" w:cs="Times New Roman"/>
          <w:b/>
          <w:bCs/>
          <w:w w:val="90"/>
          <w:sz w:val="32"/>
          <w:szCs w:val="32"/>
          <w:highlight w:val="none"/>
          <w:lang w:val="en-US" w:eastAsia="zh-CN" w:bidi="ar-SA"/>
        </w:rPr>
      </w:pPr>
      <w:r>
        <w:rPr>
          <w:rFonts w:hint="eastAsia" w:ascii="宋体" w:hAnsi="宋体" w:eastAsia="宋体" w:cs="Times New Roman"/>
          <w:b/>
          <w:bCs/>
          <w:w w:val="90"/>
          <w:sz w:val="32"/>
          <w:szCs w:val="32"/>
          <w:highlight w:val="none"/>
          <w:lang w:val="en-US" w:eastAsia="zh-CN" w:bidi="ar-SA"/>
        </w:rPr>
        <w:t>运输服务合同</w:t>
      </w:r>
    </w:p>
    <w:p w14:paraId="27FDA134">
      <w:pPr>
        <w:pStyle w:val="50"/>
        <w:widowControl/>
        <w:rPr>
          <w:highlight w:val="none"/>
        </w:rPr>
      </w:pPr>
      <w:r>
        <w:rPr>
          <w:highlight w:val="none"/>
        </w:rPr>
        <w:br w:type="page"/>
      </w:r>
      <w:r>
        <w:rPr>
          <w:highlight w:val="none"/>
        </w:rPr>
        <w:t>陆路货物运输合同</w:t>
      </w:r>
    </w:p>
    <w:p w14:paraId="4CB7893A">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托运方（甲方）：四川瑞华合纵实业有限公司</w:t>
      </w:r>
    </w:p>
    <w:p w14:paraId="561C50FE">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统一社会信用代码：91510100MA6CG56LX6</w:t>
      </w:r>
    </w:p>
    <w:p w14:paraId="7DB6CAF6">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法定代表人：</w:t>
      </w:r>
    </w:p>
    <w:p w14:paraId="32A69B9C">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联系电话：</w:t>
      </w:r>
    </w:p>
    <w:p w14:paraId="54ED06CF">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联系地址：</w:t>
      </w:r>
    </w:p>
    <w:p w14:paraId="68753AC3">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承运方（乙方）：</w:t>
      </w:r>
    </w:p>
    <w:p w14:paraId="6F117B66">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统一社会信用代码：</w:t>
      </w:r>
    </w:p>
    <w:p w14:paraId="075CDD59">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法定代表人：</w:t>
      </w:r>
    </w:p>
    <w:p w14:paraId="0F46DC82">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联系电话：</w:t>
      </w:r>
    </w:p>
    <w:p w14:paraId="2C28F6A6">
      <w:pPr>
        <w:keepNext w:val="0"/>
        <w:keepLines w:val="0"/>
        <w:pageBreakBefore w:val="0"/>
        <w:widowControl/>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cs="宋体"/>
          <w:b/>
          <w:sz w:val="30"/>
          <w:szCs w:val="30"/>
          <w:highlight w:val="none"/>
          <w:lang w:val="en-US" w:eastAsia="zh-CN" w:bidi="ar-SA"/>
        </w:rPr>
      </w:pPr>
      <w:r>
        <w:rPr>
          <w:rFonts w:hint="eastAsia" w:ascii="宋体" w:hAnsi="宋体" w:eastAsia="宋体" w:cs="宋体"/>
          <w:b/>
          <w:sz w:val="30"/>
          <w:szCs w:val="30"/>
          <w:highlight w:val="none"/>
          <w:lang w:val="en-US" w:eastAsia="zh-CN" w:bidi="ar-SA"/>
        </w:rPr>
        <w:t>联系地址：</w:t>
      </w:r>
    </w:p>
    <w:p w14:paraId="55B8C706">
      <w:pPr>
        <w:outlineLvl w:val="9"/>
        <w:rPr>
          <w:rFonts w:hint="default" w:ascii="Times New Roman" w:hAnsi="Times New Roman" w:eastAsia="宋体" w:cs="Times New Roman"/>
          <w:sz w:val="24"/>
          <w:szCs w:val="24"/>
          <w:highlight w:val="none"/>
          <w:lang w:val="en-US" w:eastAsia="zh-CN" w:bidi="ar-SA"/>
        </w:rPr>
      </w:pPr>
      <w:r>
        <w:rPr>
          <w:rFonts w:hint="default" w:ascii="Times New Roman" w:hAnsi="Times New Roman" w:eastAsia="宋体" w:cs="Times New Roman"/>
          <w:sz w:val="24"/>
          <w:szCs w:val="24"/>
          <w:highlight w:val="none"/>
          <w:lang w:val="en-US" w:eastAsia="zh-CN" w:bidi="ar-SA"/>
        </w:rPr>
        <w:br w:type="page"/>
      </w:r>
    </w:p>
    <w:p w14:paraId="21C3E34B">
      <w:pPr>
        <w:pStyle w:val="19"/>
        <w:widowControl/>
        <w:ind w:left="0" w:leftChars="0" w:firstLine="480" w:firstLineChars="200"/>
        <w:rPr>
          <w:highlight w:val="none"/>
        </w:rPr>
      </w:pPr>
      <w:r>
        <w:rPr>
          <w:highlight w:val="none"/>
        </w:rPr>
        <w:t>鉴于甲方业务的需要，甲乙双方根据《中华人民共和国民法典》及其他有关法律法规的规定，双方本着公平自愿、友好协商、平等互利、诚实信用的原则，就乙方为甲方提供陆路货物运输服务达成以下合同条款，以供双方共同遵守。</w:t>
      </w:r>
    </w:p>
    <w:p w14:paraId="77A9C428">
      <w:pPr>
        <w:pStyle w:val="2"/>
        <w:widowControl/>
        <w:numPr>
          <w:ilvl w:val="0"/>
          <w:numId w:val="66"/>
        </w:numPr>
        <w:tabs>
          <w:tab w:val="left" w:pos="1320"/>
          <w:tab w:val="clear" w:pos="0"/>
        </w:tabs>
        <w:ind w:left="0" w:leftChars="0" w:firstLine="480" w:firstLineChars="200"/>
        <w:rPr>
          <w:highlight w:val="none"/>
        </w:rPr>
      </w:pPr>
      <w:r>
        <w:rPr>
          <w:highlight w:val="none"/>
        </w:rPr>
        <w:t>合同期限</w:t>
      </w:r>
    </w:p>
    <w:p w14:paraId="3F1E8A24">
      <w:pPr>
        <w:pStyle w:val="19"/>
        <w:widowControl/>
        <w:ind w:left="0" w:leftChars="0" w:firstLine="480" w:firstLineChars="200"/>
        <w:rPr>
          <w:b/>
          <w:highlight w:val="none"/>
        </w:rPr>
      </w:pPr>
      <w:r>
        <w:rPr>
          <w:highlight w:val="none"/>
        </w:rPr>
        <w:t>本合同有效期为</w:t>
      </w:r>
      <w:r>
        <w:rPr>
          <w:highlight w:val="none"/>
          <w:u w:val="single"/>
        </w:rPr>
        <w:t xml:space="preserve"> 壹 </w:t>
      </w:r>
      <w:r>
        <w:rPr>
          <w:highlight w:val="none"/>
        </w:rPr>
        <w:t>年，即自</w:t>
      </w:r>
      <w:r>
        <w:rPr>
          <w:highlight w:val="none"/>
          <w:u w:val="single"/>
        </w:rPr>
        <w:t xml:space="preserve">   </w:t>
      </w:r>
      <w:r>
        <w:rPr>
          <w:highlight w:val="none"/>
        </w:rPr>
        <w:t>起至</w:t>
      </w:r>
      <w:r>
        <w:rPr>
          <w:highlight w:val="none"/>
          <w:u w:val="single"/>
        </w:rPr>
        <w:t xml:space="preserve">   </w:t>
      </w:r>
      <w:r>
        <w:rPr>
          <w:highlight w:val="none"/>
        </w:rPr>
        <w:t>止。本合同期满时，双方如没有争议，本合同自动延长</w:t>
      </w:r>
      <w:r>
        <w:rPr>
          <w:highlight w:val="none"/>
          <w:u w:val="single"/>
        </w:rPr>
        <w:t>壹</w:t>
      </w:r>
      <w:r>
        <w:rPr>
          <w:highlight w:val="none"/>
        </w:rPr>
        <w:t>年。</w:t>
      </w:r>
    </w:p>
    <w:p w14:paraId="45A296F5">
      <w:pPr>
        <w:pStyle w:val="2"/>
        <w:widowControl/>
        <w:numPr>
          <w:ilvl w:val="0"/>
          <w:numId w:val="66"/>
        </w:numPr>
        <w:tabs>
          <w:tab w:val="left" w:pos="1320"/>
          <w:tab w:val="clear" w:pos="0"/>
        </w:tabs>
        <w:ind w:left="0" w:leftChars="0" w:firstLine="480" w:firstLineChars="200"/>
        <w:rPr>
          <w:highlight w:val="none"/>
        </w:rPr>
      </w:pPr>
      <w:r>
        <w:rPr>
          <w:highlight w:val="none"/>
        </w:rPr>
        <w:t>运输价格与费用结算</w:t>
      </w:r>
    </w:p>
    <w:p w14:paraId="1448280C">
      <w:pPr>
        <w:pStyle w:val="19"/>
        <w:widowControl/>
        <w:numPr>
          <w:ilvl w:val="0"/>
          <w:numId w:val="67"/>
        </w:numPr>
        <w:tabs>
          <w:tab w:val="left" w:pos="840"/>
        </w:tabs>
        <w:ind w:left="0" w:leftChars="0" w:right="0" w:rightChars="0" w:firstLine="480" w:firstLineChars="200"/>
        <w:rPr>
          <w:highlight w:val="none"/>
        </w:rPr>
      </w:pPr>
      <w:r>
        <w:rPr>
          <w:highlight w:val="none"/>
        </w:rPr>
        <w:t>运输价格：按双方确定的托运单（包括纸质或电子托运单，下同）执行。</w:t>
      </w:r>
    </w:p>
    <w:p w14:paraId="7FDD1B46">
      <w:pPr>
        <w:pStyle w:val="19"/>
        <w:widowControl/>
        <w:numPr>
          <w:ilvl w:val="0"/>
          <w:numId w:val="67"/>
        </w:numPr>
        <w:tabs>
          <w:tab w:val="left" w:pos="840"/>
        </w:tabs>
        <w:ind w:left="0" w:leftChars="0" w:right="0" w:rightChars="0" w:firstLine="480" w:firstLineChars="200"/>
        <w:rPr>
          <w:b w:val="0"/>
          <w:highlight w:val="none"/>
        </w:rPr>
      </w:pPr>
      <w:r>
        <w:rPr>
          <w:highlight w:val="none"/>
        </w:rPr>
        <w:t>收费内容：该运输价格为甲方应付乙方的从货物起运地到目的地的全部运输费用，运输途中的一切费用均由乙方承担，乙方不得以任何</w:t>
      </w:r>
      <w:r>
        <w:rPr>
          <w:b w:val="0"/>
          <w:highlight w:val="none"/>
        </w:rPr>
        <w:t>理由向甲方或者甲方客户追加任何额外的费用。</w:t>
      </w:r>
    </w:p>
    <w:p w14:paraId="6450D7A6">
      <w:pPr>
        <w:pStyle w:val="19"/>
        <w:widowControl/>
        <w:numPr>
          <w:ilvl w:val="0"/>
          <w:numId w:val="67"/>
        </w:numPr>
        <w:tabs>
          <w:tab w:val="left" w:pos="840"/>
        </w:tabs>
        <w:ind w:left="0" w:leftChars="0" w:right="0" w:rightChars="0" w:firstLine="480" w:firstLineChars="200"/>
        <w:rPr>
          <w:b w:val="0"/>
          <w:highlight w:val="none"/>
        </w:rPr>
      </w:pPr>
      <w:r>
        <w:rPr>
          <w:b w:val="0"/>
          <w:highlight w:val="none"/>
        </w:rPr>
        <w:t xml:space="preserve">甲方应按托运单中约定的方式向乙方付款。乙方应向甲方提供结算清单。 </w:t>
      </w:r>
    </w:p>
    <w:p w14:paraId="559A6985">
      <w:pPr>
        <w:pStyle w:val="2"/>
        <w:widowControl/>
        <w:numPr>
          <w:ilvl w:val="0"/>
          <w:numId w:val="66"/>
        </w:numPr>
        <w:tabs>
          <w:tab w:val="left" w:pos="1320"/>
          <w:tab w:val="clear" w:pos="0"/>
        </w:tabs>
        <w:ind w:left="0" w:leftChars="0" w:firstLine="480" w:firstLineChars="200"/>
        <w:rPr>
          <w:highlight w:val="none"/>
        </w:rPr>
      </w:pPr>
      <w:r>
        <w:rPr>
          <w:highlight w:val="none"/>
        </w:rPr>
        <w:t>双方权利与义务</w:t>
      </w:r>
    </w:p>
    <w:p w14:paraId="72FEBD0B">
      <w:pPr>
        <w:pStyle w:val="19"/>
        <w:widowControl/>
        <w:numPr>
          <w:ilvl w:val="0"/>
          <w:numId w:val="68"/>
        </w:numPr>
        <w:tabs>
          <w:tab w:val="left" w:pos="840"/>
        </w:tabs>
        <w:ind w:left="0" w:leftChars="0" w:right="0" w:rightChars="0" w:firstLine="480" w:firstLineChars="200"/>
        <w:rPr>
          <w:highlight w:val="none"/>
        </w:rPr>
      </w:pPr>
      <w:r>
        <w:rPr>
          <w:highlight w:val="none"/>
        </w:rPr>
        <w:t>乙方为甲方提供相关货物的陆路运输服务，并有权向甲方收取相应的运输费用。</w:t>
      </w:r>
    </w:p>
    <w:p w14:paraId="4AFA43FE">
      <w:pPr>
        <w:pStyle w:val="19"/>
        <w:widowControl/>
        <w:numPr>
          <w:ilvl w:val="0"/>
          <w:numId w:val="68"/>
        </w:numPr>
        <w:tabs>
          <w:tab w:val="left" w:pos="840"/>
        </w:tabs>
        <w:ind w:left="0" w:leftChars="0" w:right="0" w:rightChars="0" w:firstLine="480" w:firstLineChars="200"/>
        <w:rPr>
          <w:highlight w:val="none"/>
        </w:rPr>
      </w:pPr>
      <w:r>
        <w:rPr>
          <w:highlight w:val="none"/>
        </w:rPr>
        <w:t>甲方所托运货物的名称、规格、数量等信息以双方确认的托运单为准。</w:t>
      </w:r>
    </w:p>
    <w:p w14:paraId="258F78AA">
      <w:pPr>
        <w:pStyle w:val="19"/>
        <w:widowControl/>
        <w:numPr>
          <w:ilvl w:val="0"/>
          <w:numId w:val="68"/>
        </w:numPr>
        <w:tabs>
          <w:tab w:val="left" w:pos="840"/>
        </w:tabs>
        <w:ind w:left="0" w:leftChars="0" w:right="0" w:rightChars="0" w:firstLine="480" w:firstLineChars="200"/>
        <w:rPr>
          <w:highlight w:val="none"/>
        </w:rPr>
      </w:pPr>
      <w:r>
        <w:rPr>
          <w:highlight w:val="none"/>
        </w:rPr>
        <w:t xml:space="preserve">甲方有权在下单前视业务需要增加托运事项的操作要求。 </w:t>
      </w:r>
    </w:p>
    <w:p w14:paraId="39630947">
      <w:pPr>
        <w:pStyle w:val="19"/>
        <w:widowControl/>
        <w:numPr>
          <w:ilvl w:val="0"/>
          <w:numId w:val="68"/>
        </w:numPr>
        <w:tabs>
          <w:tab w:val="left" w:pos="840"/>
        </w:tabs>
        <w:ind w:left="0" w:leftChars="0" w:right="0" w:rightChars="0" w:firstLine="480" w:firstLineChars="200"/>
        <w:rPr>
          <w:highlight w:val="none"/>
        </w:rPr>
      </w:pPr>
      <w:r>
        <w:rPr>
          <w:highlight w:val="none"/>
        </w:rPr>
        <w:t>甲方保证所托运的货物不属于国家法律法规规定的违禁品。</w:t>
      </w:r>
    </w:p>
    <w:p w14:paraId="201F1A8B">
      <w:pPr>
        <w:pStyle w:val="19"/>
        <w:widowControl/>
        <w:numPr>
          <w:ilvl w:val="0"/>
          <w:numId w:val="68"/>
        </w:numPr>
        <w:tabs>
          <w:tab w:val="left" w:pos="840"/>
        </w:tabs>
        <w:ind w:left="0" w:leftChars="0" w:right="0" w:rightChars="0" w:firstLine="480" w:firstLineChars="200"/>
        <w:rPr>
          <w:highlight w:val="none"/>
        </w:rPr>
      </w:pPr>
      <w:r>
        <w:rPr>
          <w:highlight w:val="none"/>
        </w:rPr>
        <w:t>甲方应向乙方提供准确的货物数量、体积、重量以及送货地点、电话、联系人的资料。</w:t>
      </w:r>
    </w:p>
    <w:p w14:paraId="62B7E41C">
      <w:pPr>
        <w:pStyle w:val="19"/>
        <w:widowControl/>
        <w:numPr>
          <w:ilvl w:val="0"/>
          <w:numId w:val="68"/>
        </w:numPr>
        <w:tabs>
          <w:tab w:val="left" w:pos="840"/>
        </w:tabs>
        <w:ind w:left="0" w:leftChars="0" w:right="0" w:rightChars="0" w:firstLine="480" w:firstLineChars="200"/>
        <w:rPr>
          <w:highlight w:val="none"/>
        </w:rPr>
      </w:pPr>
      <w:r>
        <w:rPr>
          <w:highlight w:val="none"/>
        </w:rPr>
        <w:t>甲方应在乙方的操作满足甲方要求的条件下，按照经确认托运单约定及时与乙方结算运费。</w:t>
      </w:r>
    </w:p>
    <w:p w14:paraId="248617B0">
      <w:pPr>
        <w:pStyle w:val="19"/>
        <w:widowControl/>
        <w:numPr>
          <w:ilvl w:val="0"/>
          <w:numId w:val="68"/>
        </w:numPr>
        <w:tabs>
          <w:tab w:val="left" w:pos="840"/>
        </w:tabs>
        <w:ind w:left="0" w:leftChars="0" w:right="0" w:rightChars="0" w:firstLine="480" w:firstLineChars="200"/>
        <w:rPr>
          <w:b/>
          <w:highlight w:val="none"/>
          <w:u w:val="single"/>
        </w:rPr>
      </w:pPr>
      <w:r>
        <w:rPr>
          <w:b/>
          <w:highlight w:val="none"/>
          <w:u w:val="single"/>
        </w:rPr>
        <w:t>乙方须投保足额货物运输保险，受益人为甲方。鉴于货物特殊性，保险条款包含高免赔约定的，一旦发生货损事故，乙方须承担无条件全额赔偿责任，即：在保险公司赔付完毕后，所有剩余损失（含免赔额、拒赔部分及保险公司核损差额）均由乙方承担，直至弥补甲方全部货物价值损失为止，乙方不得以任何理由主张减免。</w:t>
      </w:r>
    </w:p>
    <w:p w14:paraId="6E29F09E">
      <w:pPr>
        <w:pStyle w:val="19"/>
        <w:widowControl/>
        <w:numPr>
          <w:ilvl w:val="0"/>
          <w:numId w:val="68"/>
        </w:numPr>
        <w:tabs>
          <w:tab w:val="left" w:pos="840"/>
        </w:tabs>
        <w:ind w:left="0" w:leftChars="0" w:right="0" w:rightChars="0" w:firstLine="480" w:firstLineChars="200"/>
        <w:rPr>
          <w:highlight w:val="none"/>
        </w:rPr>
      </w:pPr>
      <w:r>
        <w:rPr>
          <w:highlight w:val="none"/>
        </w:rPr>
        <w:t>甲方应按照国家现行有关法律法规规定的方式和标准对托运的货物进行包装，没有统一规定包装标准的，应根据保证货物运输安全的原则进行包装，否则乙方有权拒绝承运。</w:t>
      </w:r>
    </w:p>
    <w:p w14:paraId="78189D79">
      <w:pPr>
        <w:pStyle w:val="19"/>
        <w:widowControl/>
        <w:numPr>
          <w:ilvl w:val="0"/>
          <w:numId w:val="68"/>
        </w:numPr>
        <w:tabs>
          <w:tab w:val="left" w:pos="840"/>
        </w:tabs>
        <w:ind w:left="0" w:leftChars="0" w:right="0" w:rightChars="0" w:firstLine="480" w:firstLineChars="200"/>
        <w:rPr>
          <w:highlight w:val="none"/>
        </w:rPr>
      </w:pPr>
      <w:r>
        <w:rPr>
          <w:highlight w:val="none"/>
        </w:rPr>
        <w:t>乙方应根据甲方要求，妥善安排驾驶人员和运输车辆，确保货物托运单中约定的甲方货运运输要求得到满足。</w:t>
      </w:r>
    </w:p>
    <w:p w14:paraId="7F87AB54">
      <w:pPr>
        <w:pStyle w:val="19"/>
        <w:widowControl/>
        <w:numPr>
          <w:ilvl w:val="0"/>
          <w:numId w:val="68"/>
        </w:numPr>
        <w:tabs>
          <w:tab w:val="left" w:pos="840"/>
        </w:tabs>
        <w:ind w:left="0" w:leftChars="0" w:right="0" w:rightChars="0" w:firstLine="480" w:firstLineChars="200"/>
        <w:rPr>
          <w:highlight w:val="none"/>
        </w:rPr>
      </w:pPr>
      <w:r>
        <w:rPr>
          <w:highlight w:val="none"/>
        </w:rPr>
        <w:t>乙方及其承运车辆、驾驶员必须具备合法营运资格，必须有齐全的国家主管部门核发的有效证照。提供虚假资料一经查证，甲方有权单方解除合同，由此所造成的直接损失由乙方承担。</w:t>
      </w:r>
    </w:p>
    <w:p w14:paraId="51628C0A">
      <w:pPr>
        <w:pStyle w:val="19"/>
        <w:widowControl/>
        <w:numPr>
          <w:ilvl w:val="0"/>
          <w:numId w:val="68"/>
        </w:numPr>
        <w:tabs>
          <w:tab w:val="left" w:pos="840"/>
        </w:tabs>
        <w:ind w:left="0" w:leftChars="0" w:right="0" w:rightChars="0" w:firstLine="480" w:firstLineChars="200"/>
        <w:rPr>
          <w:highlight w:val="none"/>
        </w:rPr>
      </w:pPr>
      <w:r>
        <w:rPr>
          <w:highlight w:val="none"/>
        </w:rPr>
        <w:t>乙方应提供适合的运力及车辆资源用于甲方货物的运输，承运车辆的车况和车型应符合甲方货物运输的安全要求。</w:t>
      </w:r>
    </w:p>
    <w:p w14:paraId="5D648F3E">
      <w:pPr>
        <w:pStyle w:val="19"/>
        <w:widowControl/>
        <w:numPr>
          <w:ilvl w:val="0"/>
          <w:numId w:val="68"/>
        </w:numPr>
        <w:tabs>
          <w:tab w:val="left" w:pos="840"/>
        </w:tabs>
        <w:ind w:left="0" w:leftChars="0" w:right="0" w:rightChars="0" w:firstLine="480" w:firstLineChars="200"/>
        <w:rPr>
          <w:highlight w:val="none"/>
        </w:rPr>
      </w:pPr>
      <w:r>
        <w:rPr>
          <w:highlight w:val="none"/>
        </w:rPr>
        <w:t>乙方按甲方要求准时派车提货、按时到货，如果延迟到货，并因此造成甲方或甲方客户损失的，由乙方负责赔偿。</w:t>
      </w:r>
    </w:p>
    <w:p w14:paraId="67F541E1">
      <w:pPr>
        <w:pStyle w:val="19"/>
        <w:widowControl/>
        <w:numPr>
          <w:ilvl w:val="0"/>
          <w:numId w:val="68"/>
        </w:numPr>
        <w:tabs>
          <w:tab w:val="left" w:pos="840"/>
        </w:tabs>
        <w:ind w:left="0" w:leftChars="0" w:right="0" w:rightChars="0" w:firstLine="480" w:firstLineChars="200"/>
        <w:rPr>
          <w:highlight w:val="none"/>
        </w:rPr>
      </w:pPr>
      <w:r>
        <w:rPr>
          <w:highlight w:val="none"/>
        </w:rPr>
        <w:t>乙方应保证在途货物的安全，直到货物完整送达签收，并将签收单交回给甲方为止。</w:t>
      </w:r>
    </w:p>
    <w:p w14:paraId="61993861">
      <w:pPr>
        <w:pStyle w:val="19"/>
        <w:widowControl/>
        <w:numPr>
          <w:ilvl w:val="0"/>
          <w:numId w:val="68"/>
        </w:numPr>
        <w:tabs>
          <w:tab w:val="left" w:pos="840"/>
        </w:tabs>
        <w:ind w:left="0" w:leftChars="0" w:right="0" w:rightChars="0" w:firstLine="480" w:firstLineChars="200"/>
        <w:rPr>
          <w:highlight w:val="none"/>
        </w:rPr>
      </w:pPr>
      <w:r>
        <w:rPr>
          <w:highlight w:val="none"/>
        </w:rPr>
        <w:t>乙方未按照双方确认之托运单中甲方要求安排的合适车辆（如车辆不够长、车宽过窄等），而造成的零散货物的滞留，视为乙方违约，乙方须赔偿甲方因此而产生的直接损失。</w:t>
      </w:r>
    </w:p>
    <w:p w14:paraId="71DB4EAB">
      <w:pPr>
        <w:pStyle w:val="19"/>
        <w:widowControl/>
        <w:numPr>
          <w:ilvl w:val="0"/>
          <w:numId w:val="68"/>
        </w:numPr>
        <w:tabs>
          <w:tab w:val="left" w:pos="840"/>
        </w:tabs>
        <w:ind w:left="0" w:leftChars="0" w:right="0" w:rightChars="0" w:firstLine="480" w:firstLineChars="200"/>
        <w:rPr>
          <w:highlight w:val="none"/>
        </w:rPr>
      </w:pPr>
      <w:r>
        <w:rPr>
          <w:highlight w:val="none"/>
        </w:rPr>
        <w:t>乙方应仔细检查所承运货物的数量、型号是否与提货单相符，提货后出现货物少、被盗、被抢、雨淋、破损、意外事故造成的损失由甲乙双方共同办理保险公司索赔事宜。</w:t>
      </w:r>
    </w:p>
    <w:p w14:paraId="6394F2C5">
      <w:pPr>
        <w:pStyle w:val="19"/>
        <w:widowControl/>
        <w:numPr>
          <w:ilvl w:val="0"/>
          <w:numId w:val="68"/>
        </w:numPr>
        <w:tabs>
          <w:tab w:val="left" w:pos="840"/>
        </w:tabs>
        <w:ind w:left="0" w:leftChars="0" w:right="0" w:rightChars="0" w:firstLine="480" w:firstLineChars="200"/>
        <w:rPr>
          <w:highlight w:val="none"/>
        </w:rPr>
      </w:pPr>
      <w:r>
        <w:rPr>
          <w:highlight w:val="none"/>
        </w:rPr>
        <w:t>乙方对甲方托运的零担货物，未经甲方许可不得与甲方货物性质相抵触的货物拼装。</w:t>
      </w:r>
    </w:p>
    <w:p w14:paraId="2EBA743C">
      <w:pPr>
        <w:pStyle w:val="19"/>
        <w:widowControl/>
        <w:numPr>
          <w:ilvl w:val="0"/>
          <w:numId w:val="68"/>
        </w:numPr>
        <w:tabs>
          <w:tab w:val="left" w:pos="840"/>
        </w:tabs>
        <w:ind w:left="0" w:leftChars="0" w:right="0" w:rightChars="0" w:firstLine="480" w:firstLineChars="200"/>
        <w:rPr>
          <w:highlight w:val="none"/>
        </w:rPr>
      </w:pPr>
      <w:r>
        <w:rPr>
          <w:highlight w:val="none"/>
        </w:rPr>
        <w:t>乙方在服务过程中发生异常情况必须在尽可能短的时间内报告甲方，并按照甲方人员的要求进行处理，擅自处理异常情况造成不良后果的，由乙方承担直接损失。</w:t>
      </w:r>
    </w:p>
    <w:p w14:paraId="45E957EB">
      <w:pPr>
        <w:pStyle w:val="19"/>
        <w:widowControl/>
        <w:numPr>
          <w:ilvl w:val="0"/>
          <w:numId w:val="68"/>
        </w:numPr>
        <w:tabs>
          <w:tab w:val="left" w:pos="840"/>
        </w:tabs>
        <w:ind w:left="0" w:leftChars="0" w:right="0" w:rightChars="0" w:firstLine="480" w:firstLineChars="200"/>
        <w:rPr>
          <w:highlight w:val="none"/>
        </w:rPr>
      </w:pPr>
      <w:r>
        <w:rPr>
          <w:highlight w:val="none"/>
        </w:rPr>
        <w:t>乙方在承运途中发生意外事故，导致货物损坏时，必须及时通知甲方并报当地公安交通部门及当地保险公司，与甲方共同办理货损理赔事宜。</w:t>
      </w:r>
    </w:p>
    <w:p w14:paraId="3AB2C944">
      <w:pPr>
        <w:pStyle w:val="19"/>
        <w:widowControl/>
        <w:numPr>
          <w:ilvl w:val="0"/>
          <w:numId w:val="68"/>
        </w:numPr>
        <w:tabs>
          <w:tab w:val="left" w:pos="840"/>
        </w:tabs>
        <w:ind w:left="0" w:leftChars="0" w:right="0" w:rightChars="0" w:firstLine="480" w:firstLineChars="200"/>
        <w:rPr>
          <w:highlight w:val="none"/>
        </w:rPr>
      </w:pPr>
      <w:r>
        <w:rPr>
          <w:highlight w:val="none"/>
        </w:rPr>
        <w:t>如托运单注明有回单，则乙方应在发货日起计30天内将回单返还给甲方。</w:t>
      </w:r>
    </w:p>
    <w:p w14:paraId="0FED49AE">
      <w:pPr>
        <w:pStyle w:val="2"/>
        <w:widowControl/>
        <w:numPr>
          <w:ilvl w:val="0"/>
          <w:numId w:val="66"/>
        </w:numPr>
        <w:tabs>
          <w:tab w:val="left" w:pos="1320"/>
          <w:tab w:val="clear" w:pos="0"/>
        </w:tabs>
        <w:ind w:left="0" w:leftChars="0" w:firstLine="480" w:firstLineChars="200"/>
        <w:rPr>
          <w:highlight w:val="none"/>
        </w:rPr>
      </w:pPr>
      <w:r>
        <w:rPr>
          <w:highlight w:val="none"/>
        </w:rPr>
        <w:t>损失赔偿</w:t>
      </w:r>
    </w:p>
    <w:p w14:paraId="34B75F45">
      <w:pPr>
        <w:pStyle w:val="19"/>
        <w:widowControl/>
        <w:numPr>
          <w:ilvl w:val="0"/>
          <w:numId w:val="69"/>
        </w:numPr>
        <w:tabs>
          <w:tab w:val="left" w:pos="840"/>
        </w:tabs>
        <w:ind w:left="0" w:leftChars="0" w:right="0" w:rightChars="0" w:firstLine="480" w:firstLineChars="200"/>
        <w:rPr>
          <w:highlight w:val="none"/>
        </w:rPr>
      </w:pPr>
      <w:r>
        <w:rPr>
          <w:highlight w:val="none"/>
        </w:rPr>
        <w:t>由于乙方原因造成甲方客户的惩罚性扣款时，该款项由乙方承担。</w:t>
      </w:r>
    </w:p>
    <w:p w14:paraId="63062158">
      <w:pPr>
        <w:pStyle w:val="19"/>
        <w:widowControl/>
        <w:numPr>
          <w:ilvl w:val="0"/>
          <w:numId w:val="69"/>
        </w:numPr>
        <w:tabs>
          <w:tab w:val="left" w:pos="840"/>
        </w:tabs>
        <w:ind w:left="0" w:leftChars="0" w:right="0" w:rightChars="0" w:firstLine="480" w:firstLineChars="200"/>
        <w:rPr>
          <w:highlight w:val="none"/>
        </w:rPr>
      </w:pPr>
      <w:r>
        <w:rPr>
          <w:highlight w:val="none"/>
        </w:rPr>
        <w:t>甲方托运的货物出现任何损失或者意外时，乙方有义务协助甲方向保险公司进行索赔，并承担保险赔偿不足部分的损失。</w:t>
      </w:r>
    </w:p>
    <w:p w14:paraId="6FBB2426">
      <w:pPr>
        <w:pStyle w:val="19"/>
        <w:widowControl/>
        <w:numPr>
          <w:ilvl w:val="0"/>
          <w:numId w:val="69"/>
        </w:numPr>
        <w:tabs>
          <w:tab w:val="left" w:pos="840"/>
        </w:tabs>
        <w:ind w:left="0" w:leftChars="0" w:right="0" w:rightChars="0" w:firstLine="480" w:firstLineChars="200"/>
        <w:rPr>
          <w:highlight w:val="none"/>
        </w:rPr>
      </w:pPr>
      <w:r>
        <w:rPr>
          <w:highlight w:val="none"/>
        </w:rPr>
        <w:t>乙方未能按本合同履行其职责或者履行过程中给甲方造成的损失，经确认甲方可直接从运输费用中进行扣除。</w:t>
      </w:r>
    </w:p>
    <w:p w14:paraId="5CFF1F61">
      <w:pPr>
        <w:pStyle w:val="19"/>
        <w:widowControl/>
        <w:numPr>
          <w:ilvl w:val="0"/>
          <w:numId w:val="69"/>
        </w:numPr>
        <w:tabs>
          <w:tab w:val="left" w:pos="840"/>
        </w:tabs>
        <w:ind w:left="0" w:leftChars="0" w:right="0" w:rightChars="0" w:firstLine="480" w:firstLineChars="200"/>
        <w:rPr>
          <w:highlight w:val="none"/>
        </w:rPr>
      </w:pPr>
      <w:r>
        <w:rPr>
          <w:highlight w:val="none"/>
        </w:rPr>
        <w:t>如双方对损失赔偿另有约定的，依据相关约定。</w:t>
      </w:r>
      <w:r>
        <w:rPr>
          <w:b/>
          <w:highlight w:val="none"/>
        </w:rPr>
        <w:t xml:space="preserve"> </w:t>
      </w:r>
    </w:p>
    <w:p w14:paraId="498AF7A8">
      <w:pPr>
        <w:pStyle w:val="2"/>
        <w:widowControl/>
        <w:numPr>
          <w:ilvl w:val="0"/>
          <w:numId w:val="66"/>
        </w:numPr>
        <w:tabs>
          <w:tab w:val="left" w:pos="1320"/>
          <w:tab w:val="clear" w:pos="0"/>
        </w:tabs>
        <w:ind w:left="0" w:leftChars="0" w:firstLine="480" w:firstLineChars="200"/>
        <w:rPr>
          <w:highlight w:val="none"/>
        </w:rPr>
      </w:pPr>
      <w:r>
        <w:rPr>
          <w:highlight w:val="none"/>
        </w:rPr>
        <w:t>免责条款</w:t>
      </w:r>
    </w:p>
    <w:p w14:paraId="6A352F13">
      <w:pPr>
        <w:pStyle w:val="3"/>
        <w:widowControl/>
        <w:numPr>
          <w:ilvl w:val="0"/>
          <w:numId w:val="70"/>
        </w:numPr>
        <w:ind w:left="0" w:leftChars="0" w:firstLine="480" w:firstLineChars="200"/>
        <w:rPr>
          <w:highlight w:val="none"/>
        </w:rPr>
      </w:pPr>
      <w:r>
        <w:rPr>
          <w:highlight w:val="none"/>
        </w:rPr>
        <w:t>不可抗力：</w:t>
      </w:r>
    </w:p>
    <w:p w14:paraId="5942657D">
      <w:pPr>
        <w:pStyle w:val="19"/>
        <w:widowControl/>
        <w:numPr>
          <w:ilvl w:val="0"/>
          <w:numId w:val="71"/>
        </w:numPr>
        <w:tabs>
          <w:tab w:val="left" w:pos="1080"/>
        </w:tabs>
        <w:ind w:left="0" w:leftChars="0" w:right="0" w:rightChars="0" w:firstLine="480" w:firstLineChars="200"/>
        <w:rPr>
          <w:highlight w:val="none"/>
        </w:rPr>
      </w:pPr>
      <w:r>
        <w:rPr>
          <w:highlight w:val="none"/>
        </w:rPr>
        <w:t>本合同约定的不可抗力指不能预见、不能避免并不能克服的客观情况。包括但不限于如下事件：</w:t>
      </w:r>
    </w:p>
    <w:p w14:paraId="648F98B3">
      <w:pPr>
        <w:pStyle w:val="19"/>
        <w:widowControl/>
        <w:numPr>
          <w:ilvl w:val="0"/>
          <w:numId w:val="72"/>
        </w:numPr>
        <w:tabs>
          <w:tab w:val="left" w:pos="840"/>
          <w:tab w:val="clear" w:pos="210"/>
        </w:tabs>
        <w:ind w:left="0" w:leftChars="0" w:firstLine="480" w:firstLineChars="200"/>
        <w:rPr>
          <w:b w:val="0"/>
          <w:highlight w:val="none"/>
        </w:rPr>
      </w:pPr>
      <w:r>
        <w:rPr>
          <w:highlight w:val="none"/>
        </w:rPr>
        <w:t>战争、敌对行动（不论是否宣战）、入侵、外敌行为；</w:t>
      </w:r>
    </w:p>
    <w:p w14:paraId="57F914E9">
      <w:pPr>
        <w:pStyle w:val="19"/>
        <w:widowControl/>
        <w:numPr>
          <w:ilvl w:val="0"/>
          <w:numId w:val="72"/>
        </w:numPr>
        <w:tabs>
          <w:tab w:val="left" w:pos="840"/>
          <w:tab w:val="clear" w:pos="210"/>
        </w:tabs>
        <w:ind w:left="0" w:leftChars="0" w:firstLine="480" w:firstLineChars="200"/>
        <w:rPr>
          <w:b w:val="0"/>
          <w:highlight w:val="none"/>
        </w:rPr>
      </w:pPr>
      <w:r>
        <w:rPr>
          <w:highlight w:val="none"/>
        </w:rPr>
        <w:t>叛乱、恐怖主义、革命、暴动；</w:t>
      </w:r>
    </w:p>
    <w:p w14:paraId="6626D8AC">
      <w:pPr>
        <w:pStyle w:val="19"/>
        <w:widowControl/>
        <w:numPr>
          <w:ilvl w:val="0"/>
          <w:numId w:val="72"/>
        </w:numPr>
        <w:tabs>
          <w:tab w:val="left" w:pos="840"/>
          <w:tab w:val="clear" w:pos="210"/>
        </w:tabs>
        <w:ind w:left="0" w:leftChars="0" w:firstLine="480" w:firstLineChars="200"/>
        <w:rPr>
          <w:b w:val="0"/>
          <w:highlight w:val="none"/>
        </w:rPr>
      </w:pPr>
      <w:r>
        <w:rPr>
          <w:highlight w:val="none"/>
        </w:rPr>
        <w:t>骚动、混乱、罢工或停工、政府行为等；</w:t>
      </w:r>
    </w:p>
    <w:p w14:paraId="40011EFA">
      <w:pPr>
        <w:pStyle w:val="19"/>
        <w:widowControl/>
        <w:numPr>
          <w:ilvl w:val="0"/>
          <w:numId w:val="72"/>
        </w:numPr>
        <w:tabs>
          <w:tab w:val="left" w:pos="840"/>
          <w:tab w:val="clear" w:pos="210"/>
        </w:tabs>
        <w:ind w:left="0" w:leftChars="0" w:firstLine="480" w:firstLineChars="200"/>
        <w:rPr>
          <w:b w:val="0"/>
          <w:highlight w:val="none"/>
        </w:rPr>
      </w:pPr>
      <w:r>
        <w:rPr>
          <w:highlight w:val="none"/>
        </w:rPr>
        <w:t>自然灾害，如地震、台风或火山活动等。</w:t>
      </w:r>
    </w:p>
    <w:p w14:paraId="77703469">
      <w:pPr>
        <w:pStyle w:val="19"/>
        <w:widowControl/>
        <w:numPr>
          <w:ilvl w:val="0"/>
          <w:numId w:val="71"/>
        </w:numPr>
        <w:tabs>
          <w:tab w:val="left" w:pos="1080"/>
        </w:tabs>
        <w:ind w:left="0" w:leftChars="0" w:right="0" w:rightChars="0" w:firstLine="480" w:firstLineChars="200"/>
        <w:rPr>
          <w:highlight w:val="none"/>
        </w:rPr>
      </w:pPr>
      <w:r>
        <w:rPr>
          <w:highlight w:val="none"/>
        </w:rPr>
        <w:t>甲乙双方任何一方遭受不可抗力应及时通知另一方，解释其需要提出发生不可抗力的理由，并且应在该不可抗力结束后 15 日内对该不可抗力的发生时间及其持续时间提供证明。</w:t>
      </w:r>
    </w:p>
    <w:p w14:paraId="129CF7B9">
      <w:pPr>
        <w:pStyle w:val="19"/>
        <w:widowControl/>
        <w:numPr>
          <w:ilvl w:val="0"/>
          <w:numId w:val="71"/>
        </w:numPr>
        <w:tabs>
          <w:tab w:val="left" w:pos="1080"/>
        </w:tabs>
        <w:ind w:left="0" w:leftChars="0" w:right="0" w:rightChars="0" w:firstLine="480" w:firstLineChars="200"/>
        <w:rPr>
          <w:highlight w:val="none"/>
        </w:rPr>
      </w:pPr>
      <w:r>
        <w:rPr>
          <w:highlight w:val="none"/>
        </w:rPr>
        <w:t>如果一个不可抗力事件发生，任何一方不应对另一方因该等无法或延迟履行而招致的任何损失、增加的成本或损失承担责任，并且该无法或延迟履行不得被视为对本合同的违反。本合同项下的所有其他义务以及履行时间应当不受影响。</w:t>
      </w:r>
    </w:p>
    <w:p w14:paraId="58C3BD5E">
      <w:pPr>
        <w:pStyle w:val="19"/>
        <w:widowControl/>
        <w:numPr>
          <w:ilvl w:val="0"/>
          <w:numId w:val="71"/>
        </w:numPr>
        <w:tabs>
          <w:tab w:val="left" w:pos="1080"/>
        </w:tabs>
        <w:ind w:left="0" w:leftChars="0" w:right="0" w:rightChars="0" w:firstLine="480" w:firstLineChars="200"/>
        <w:rPr>
          <w:highlight w:val="none"/>
        </w:rPr>
      </w:pPr>
      <w:r>
        <w:rPr>
          <w:highlight w:val="none"/>
        </w:rPr>
        <w:t>声称遭受不可抗力的一方应当采取适当措施减少或排除该不可抗力所造成的影响，并在尽可能的最短时间内，尽力恢复履行受到不可抗力影响的合同义务。</w:t>
      </w:r>
    </w:p>
    <w:p w14:paraId="0D30C898">
      <w:pPr>
        <w:pStyle w:val="19"/>
        <w:widowControl/>
        <w:numPr>
          <w:ilvl w:val="0"/>
          <w:numId w:val="71"/>
        </w:numPr>
        <w:tabs>
          <w:tab w:val="left" w:pos="1080"/>
        </w:tabs>
        <w:ind w:left="0" w:leftChars="0" w:right="0" w:rightChars="0" w:firstLine="480" w:firstLineChars="200"/>
        <w:rPr>
          <w:highlight w:val="none"/>
        </w:rPr>
      </w:pPr>
      <w:r>
        <w:rPr>
          <w:highlight w:val="none"/>
        </w:rPr>
        <w:t>任何不可抗力事件导致的延迟超过连续60天的，甲乙双方应通过友好协商的方式解决本合同未来履行的事宜，或者任何一方可以以通知的方式送达另一方以终止本合同。</w:t>
      </w:r>
    </w:p>
    <w:p w14:paraId="4E1220EA">
      <w:pPr>
        <w:pStyle w:val="2"/>
        <w:widowControl/>
        <w:numPr>
          <w:ilvl w:val="0"/>
          <w:numId w:val="66"/>
        </w:numPr>
        <w:tabs>
          <w:tab w:val="left" w:pos="1320"/>
          <w:tab w:val="clear" w:pos="0"/>
        </w:tabs>
        <w:ind w:left="0" w:leftChars="0" w:firstLine="480" w:firstLineChars="200"/>
        <w:rPr>
          <w:highlight w:val="none"/>
        </w:rPr>
      </w:pPr>
      <w:r>
        <w:rPr>
          <w:highlight w:val="none"/>
        </w:rPr>
        <w:t>合同变更和终止</w:t>
      </w:r>
    </w:p>
    <w:p w14:paraId="650D6F7F">
      <w:pPr>
        <w:pStyle w:val="19"/>
        <w:widowControl/>
        <w:numPr>
          <w:ilvl w:val="0"/>
          <w:numId w:val="73"/>
        </w:numPr>
        <w:tabs>
          <w:tab w:val="left" w:pos="840"/>
        </w:tabs>
        <w:ind w:left="0" w:leftChars="0" w:right="0" w:rightChars="0" w:firstLine="480" w:firstLineChars="200"/>
        <w:rPr>
          <w:highlight w:val="none"/>
        </w:rPr>
      </w:pPr>
      <w:r>
        <w:rPr>
          <w:highlight w:val="none"/>
        </w:rPr>
        <w:t>本合同任何条款的变更或补充，须经双方同意，并以书面文件为准。</w:t>
      </w:r>
    </w:p>
    <w:p w14:paraId="6F84F384">
      <w:pPr>
        <w:pStyle w:val="19"/>
        <w:widowControl/>
        <w:numPr>
          <w:ilvl w:val="0"/>
          <w:numId w:val="73"/>
        </w:numPr>
        <w:tabs>
          <w:tab w:val="left" w:pos="840"/>
        </w:tabs>
        <w:ind w:left="0" w:leftChars="0" w:right="0" w:rightChars="0" w:firstLine="480" w:firstLineChars="200"/>
        <w:rPr>
          <w:highlight w:val="none"/>
        </w:rPr>
      </w:pPr>
      <w:r>
        <w:rPr>
          <w:highlight w:val="none"/>
        </w:rPr>
        <w:t>任何一方因业务变化，需中途终止合同时，均应提前一个月书面通知另一方，经双方协商同意后方可提前终止合同。</w:t>
      </w:r>
    </w:p>
    <w:p w14:paraId="14EE7E8B">
      <w:pPr>
        <w:pStyle w:val="19"/>
        <w:widowControl/>
        <w:numPr>
          <w:ilvl w:val="0"/>
          <w:numId w:val="73"/>
        </w:numPr>
        <w:tabs>
          <w:tab w:val="left" w:pos="840"/>
        </w:tabs>
        <w:ind w:left="0" w:leftChars="0" w:right="0" w:rightChars="0" w:firstLine="480" w:firstLineChars="200"/>
        <w:rPr>
          <w:highlight w:val="none"/>
        </w:rPr>
      </w:pPr>
      <w:r>
        <w:rPr>
          <w:highlight w:val="none"/>
        </w:rPr>
        <w:t>有下列情形之一，甲方有权选择提前终止本合同：</w:t>
      </w:r>
    </w:p>
    <w:p w14:paraId="232D9442">
      <w:pPr>
        <w:pStyle w:val="19"/>
        <w:widowControl/>
        <w:numPr>
          <w:ilvl w:val="0"/>
          <w:numId w:val="74"/>
        </w:numPr>
        <w:tabs>
          <w:tab w:val="left" w:pos="1080"/>
        </w:tabs>
        <w:ind w:left="0" w:leftChars="0" w:right="0" w:rightChars="0" w:firstLine="480" w:firstLineChars="200"/>
        <w:rPr>
          <w:highlight w:val="none"/>
        </w:rPr>
      </w:pPr>
      <w:r>
        <w:rPr>
          <w:highlight w:val="none"/>
        </w:rPr>
        <w:t>甲方确定乙方没有能力履行合同中的要求；</w:t>
      </w:r>
    </w:p>
    <w:p w14:paraId="4B0EA0F3">
      <w:pPr>
        <w:pStyle w:val="19"/>
        <w:widowControl/>
        <w:numPr>
          <w:ilvl w:val="0"/>
          <w:numId w:val="74"/>
        </w:numPr>
        <w:tabs>
          <w:tab w:val="left" w:pos="1080"/>
        </w:tabs>
        <w:ind w:left="0" w:leftChars="0" w:right="0" w:rightChars="0" w:firstLine="480" w:firstLineChars="200"/>
        <w:rPr>
          <w:highlight w:val="none"/>
        </w:rPr>
      </w:pPr>
      <w:r>
        <w:rPr>
          <w:highlight w:val="none"/>
        </w:rPr>
        <w:t>乙方为甲方提供的物流服务未能达到双方约定的服务标准。</w:t>
      </w:r>
    </w:p>
    <w:p w14:paraId="1BDFC5A8">
      <w:pPr>
        <w:pStyle w:val="19"/>
        <w:widowControl/>
        <w:numPr>
          <w:ilvl w:val="0"/>
          <w:numId w:val="73"/>
        </w:numPr>
        <w:tabs>
          <w:tab w:val="left" w:pos="840"/>
        </w:tabs>
        <w:ind w:left="0" w:leftChars="0" w:right="0" w:rightChars="0" w:firstLine="480" w:firstLineChars="200"/>
        <w:rPr>
          <w:highlight w:val="none"/>
        </w:rPr>
      </w:pPr>
      <w:r>
        <w:rPr>
          <w:highlight w:val="none"/>
        </w:rPr>
        <w:t xml:space="preserve">如无正当理由，甲方未能按约定向乙方支付运费，乙方有权提前终止本合同。 </w:t>
      </w:r>
    </w:p>
    <w:p w14:paraId="685F5FD7">
      <w:pPr>
        <w:pStyle w:val="2"/>
        <w:widowControl/>
        <w:numPr>
          <w:ilvl w:val="0"/>
          <w:numId w:val="66"/>
        </w:numPr>
        <w:tabs>
          <w:tab w:val="left" w:pos="1320"/>
          <w:tab w:val="clear" w:pos="0"/>
        </w:tabs>
        <w:ind w:left="0" w:leftChars="0" w:firstLine="480" w:firstLineChars="200"/>
        <w:rPr>
          <w:highlight w:val="none"/>
        </w:rPr>
      </w:pPr>
      <w:r>
        <w:rPr>
          <w:highlight w:val="none"/>
        </w:rPr>
        <w:t>适用法律与争议解决</w:t>
      </w:r>
    </w:p>
    <w:p w14:paraId="192E37BB">
      <w:pPr>
        <w:pStyle w:val="19"/>
        <w:widowControl/>
        <w:numPr>
          <w:ilvl w:val="0"/>
          <w:numId w:val="75"/>
        </w:numPr>
        <w:tabs>
          <w:tab w:val="left" w:pos="840"/>
        </w:tabs>
        <w:ind w:left="0" w:leftChars="0" w:right="0" w:rightChars="0" w:firstLine="480" w:firstLineChars="200"/>
        <w:rPr>
          <w:highlight w:val="none"/>
        </w:rPr>
      </w:pPr>
      <w:r>
        <w:rPr>
          <w:highlight w:val="none"/>
        </w:rPr>
        <w:t>本合同的订立、生效、履行、变更、解除、终止、解释等均适用中华人民共和国法律。</w:t>
      </w:r>
    </w:p>
    <w:p w14:paraId="582C574F">
      <w:pPr>
        <w:pStyle w:val="19"/>
        <w:widowControl/>
        <w:numPr>
          <w:ilvl w:val="0"/>
          <w:numId w:val="75"/>
        </w:numPr>
        <w:tabs>
          <w:tab w:val="left" w:pos="840"/>
        </w:tabs>
        <w:ind w:left="0" w:leftChars="0" w:right="0" w:rightChars="0" w:firstLine="480" w:firstLineChars="200"/>
        <w:rPr>
          <w:highlight w:val="none"/>
        </w:rPr>
      </w:pPr>
      <w:r>
        <w:rPr>
          <w:highlight w:val="none"/>
        </w:rPr>
        <w:t>本合同有效期间如产生争议，双方应首先通过友好协商的方式解决；协商不成的，任何一方均可向签约地有管辖权的人民法院提起诉讼。</w:t>
      </w:r>
    </w:p>
    <w:p w14:paraId="062D8135">
      <w:pPr>
        <w:pStyle w:val="19"/>
        <w:widowControl/>
        <w:numPr>
          <w:ilvl w:val="0"/>
          <w:numId w:val="75"/>
        </w:numPr>
        <w:tabs>
          <w:tab w:val="left" w:pos="840"/>
        </w:tabs>
        <w:ind w:left="0" w:leftChars="0" w:right="0" w:rightChars="0" w:firstLine="480" w:firstLineChars="200"/>
        <w:rPr>
          <w:highlight w:val="none"/>
        </w:rPr>
      </w:pPr>
      <w:r>
        <w:rPr>
          <w:highlight w:val="none"/>
        </w:rPr>
        <w:t xml:space="preserve">争议解决期间，本合同其它无争议条款应继续履行。 </w:t>
      </w:r>
    </w:p>
    <w:p w14:paraId="42024EEF">
      <w:pPr>
        <w:pStyle w:val="2"/>
        <w:widowControl/>
        <w:numPr>
          <w:ilvl w:val="0"/>
          <w:numId w:val="66"/>
        </w:numPr>
        <w:tabs>
          <w:tab w:val="left" w:pos="1320"/>
          <w:tab w:val="clear" w:pos="0"/>
        </w:tabs>
        <w:ind w:left="0" w:leftChars="0" w:firstLine="480" w:firstLineChars="200"/>
        <w:rPr>
          <w:highlight w:val="none"/>
        </w:rPr>
      </w:pPr>
      <w:r>
        <w:rPr>
          <w:highlight w:val="none"/>
        </w:rPr>
        <w:t>通知条款</w:t>
      </w:r>
    </w:p>
    <w:p w14:paraId="396D4EB8">
      <w:pPr>
        <w:pStyle w:val="19"/>
        <w:widowControl/>
        <w:numPr>
          <w:ilvl w:val="0"/>
          <w:numId w:val="76"/>
        </w:numPr>
        <w:tabs>
          <w:tab w:val="left" w:pos="840"/>
        </w:tabs>
        <w:ind w:left="0" w:leftChars="0" w:right="0" w:rightChars="0" w:firstLine="480" w:firstLineChars="200"/>
        <w:rPr>
          <w:highlight w:val="none"/>
        </w:rPr>
      </w:pPr>
      <w:r>
        <w:rPr>
          <w:highlight w:val="none"/>
        </w:rPr>
        <w:t>根据本合同发出的任何通知、决定、要求、法院文件或其他通讯（以下简称“通讯”）均应以中文撰写并以书面形式送达本合同首部中的甲乙双方对应的联系地址。</w:t>
      </w:r>
    </w:p>
    <w:p w14:paraId="0E0C7A02">
      <w:pPr>
        <w:pStyle w:val="19"/>
        <w:widowControl/>
        <w:numPr>
          <w:ilvl w:val="0"/>
          <w:numId w:val="76"/>
        </w:numPr>
        <w:tabs>
          <w:tab w:val="left" w:pos="840"/>
        </w:tabs>
        <w:ind w:left="0" w:leftChars="0" w:right="0" w:rightChars="0" w:firstLine="480" w:firstLineChars="200"/>
        <w:rPr>
          <w:highlight w:val="none"/>
        </w:rPr>
      </w:pPr>
      <w:r>
        <w:rPr>
          <w:highlight w:val="none"/>
        </w:rPr>
        <w:t xml:space="preserve">甲乙双方任何一方变更本合同首部中的通讯信息的，均应及时书面通知对方，通知送达的次日为变更方的通讯信息变更之日。 </w:t>
      </w:r>
    </w:p>
    <w:p w14:paraId="3A888B98">
      <w:pPr>
        <w:pStyle w:val="2"/>
        <w:widowControl/>
        <w:numPr>
          <w:ilvl w:val="0"/>
          <w:numId w:val="66"/>
        </w:numPr>
        <w:tabs>
          <w:tab w:val="left" w:pos="1320"/>
          <w:tab w:val="clear" w:pos="0"/>
        </w:tabs>
        <w:ind w:left="0" w:leftChars="0" w:firstLine="480" w:firstLineChars="200"/>
        <w:rPr>
          <w:highlight w:val="none"/>
        </w:rPr>
      </w:pPr>
      <w:r>
        <w:rPr>
          <w:highlight w:val="none"/>
        </w:rPr>
        <w:t>附则</w:t>
      </w:r>
    </w:p>
    <w:p w14:paraId="6978FDC8">
      <w:pPr>
        <w:pStyle w:val="19"/>
        <w:widowControl/>
        <w:numPr>
          <w:ilvl w:val="0"/>
          <w:numId w:val="77"/>
        </w:numPr>
        <w:tabs>
          <w:tab w:val="left" w:pos="840"/>
        </w:tabs>
        <w:ind w:left="0" w:leftChars="0" w:right="0" w:rightChars="0" w:firstLine="480" w:firstLineChars="200"/>
        <w:rPr>
          <w:highlight w:val="none"/>
        </w:rPr>
      </w:pPr>
      <w:r>
        <w:rPr>
          <w:highlight w:val="none"/>
        </w:rPr>
        <w:t>本合同未尽事宜可由甲乙双方协商一致签订补充协议，作为本合同的附件，与本合同具有同等法律效力。</w:t>
      </w:r>
    </w:p>
    <w:p w14:paraId="0B2AC390">
      <w:pPr>
        <w:pStyle w:val="19"/>
        <w:widowControl/>
        <w:numPr>
          <w:ilvl w:val="0"/>
          <w:numId w:val="77"/>
        </w:numPr>
        <w:tabs>
          <w:tab w:val="left" w:pos="840"/>
        </w:tabs>
        <w:ind w:left="0" w:leftChars="0" w:right="0" w:rightChars="0" w:firstLine="480" w:firstLineChars="200"/>
        <w:rPr>
          <w:highlight w:val="none"/>
        </w:rPr>
      </w:pPr>
      <w:r>
        <w:rPr>
          <w:highlight w:val="none"/>
        </w:rPr>
        <w:t>乙方承诺为甲方保守商业机密，包括但不限于甲方客户信息、货物信息、承运人信息，货物单证所包含的信息等。</w:t>
      </w:r>
    </w:p>
    <w:p w14:paraId="10D45AB3">
      <w:pPr>
        <w:pStyle w:val="19"/>
        <w:widowControl/>
        <w:numPr>
          <w:ilvl w:val="0"/>
          <w:numId w:val="77"/>
        </w:numPr>
        <w:tabs>
          <w:tab w:val="left" w:pos="840"/>
        </w:tabs>
        <w:ind w:left="0" w:leftChars="0" w:right="0" w:rightChars="0" w:firstLine="480" w:firstLineChars="200"/>
        <w:rPr>
          <w:highlight w:val="none"/>
        </w:rPr>
      </w:pPr>
      <w:r>
        <w:rPr>
          <w:highlight w:val="none"/>
        </w:rPr>
        <w:t>本合同双方签字或盖章之日起生效。</w:t>
      </w:r>
    </w:p>
    <w:p w14:paraId="44B84407">
      <w:pPr>
        <w:pStyle w:val="19"/>
        <w:widowControl/>
        <w:numPr>
          <w:ilvl w:val="0"/>
          <w:numId w:val="77"/>
        </w:numPr>
        <w:tabs>
          <w:tab w:val="left" w:pos="840"/>
        </w:tabs>
        <w:ind w:left="0" w:leftChars="0" w:right="0" w:rightChars="0" w:firstLine="480" w:firstLineChars="200"/>
        <w:rPr>
          <w:highlight w:val="none"/>
        </w:rPr>
      </w:pPr>
      <w:r>
        <w:rPr>
          <w:highlight w:val="none"/>
        </w:rPr>
        <w:t>本合同壹式肆份，甲方执贰份，乙方执贰份，具有同等法律效力。</w:t>
      </w:r>
    </w:p>
    <w:p w14:paraId="7E600EF5">
      <w:pPr>
        <w:pStyle w:val="19"/>
        <w:widowControl/>
        <w:ind w:left="0" w:leftChars="0" w:firstLine="480" w:firstLineChars="200"/>
        <w:rPr>
          <w:highlight w:val="none"/>
        </w:rPr>
      </w:pPr>
      <w:r>
        <w:rPr>
          <w:highlight w:val="none"/>
        </w:rPr>
        <w:t>（以下无正文）</w:t>
      </w:r>
    </w:p>
    <w:p w14:paraId="502257BA">
      <w:pPr>
        <w:keepNext w:val="0"/>
        <w:keepLines w:val="0"/>
        <w:pageBreakBefore w:val="0"/>
        <w:widowControl/>
        <w:tabs>
          <w:tab w:val="left" w:pos="3860"/>
        </w:tabs>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sz w:val="24"/>
          <w:szCs w:val="24"/>
          <w:highlight w:val="none"/>
        </w:rPr>
      </w:pPr>
    </w:p>
    <w:p w14:paraId="3044AB99">
      <w:pPr>
        <w:keepNext w:val="0"/>
        <w:keepLines w:val="0"/>
        <w:pageBreakBefore w:val="0"/>
        <w:widowControl/>
        <w:tabs>
          <w:tab w:val="left" w:pos="3860"/>
        </w:tabs>
        <w:kinsoku/>
        <w:wordWrap/>
        <w:overflowPunct/>
        <w:topLinePunct w:val="0"/>
        <w:autoSpaceDE/>
        <w:autoSpaceDN/>
        <w:bidi w:val="0"/>
        <w:adjustRightInd/>
        <w:snapToGrid w:val="0"/>
        <w:spacing w:before="181" w:beforeLines="50" w:line="312" w:lineRule="auto"/>
        <w:textAlignment w:val="auto"/>
        <w:outlineLvl w:val="9"/>
        <w:rPr>
          <w:rFonts w:hint="eastAsia" w:ascii="宋体" w:hAnsi="宋体" w:eastAsia="宋体"/>
          <w:sz w:val="24"/>
          <w:szCs w:val="24"/>
          <w:highlight w:val="none"/>
        </w:rPr>
        <w:sectPr>
          <w:footerReference r:id="rId6" w:type="first"/>
          <w:footerReference r:id="rId5" w:type="default"/>
          <w:type w:val="continuous"/>
          <w:pgSz w:w="11900" w:h="16840"/>
          <w:pgMar w:top="1418" w:right="1701" w:bottom="1418" w:left="1701" w:header="0" w:footer="964" w:gutter="0"/>
          <w:pgNumType w:fmt="decimal" w:start="1"/>
          <w:cols w:space="720" w:num="1"/>
          <w:docGrid w:linePitch="360" w:charSpace="0"/>
        </w:sectPr>
      </w:pPr>
    </w:p>
    <w:p w14:paraId="7723079F">
      <w:pPr>
        <w:keepNext w:val="0"/>
        <w:keepLines w:val="0"/>
        <w:pageBreakBefore w:val="0"/>
        <w:widowControl/>
        <w:tabs>
          <w:tab w:val="left" w:pos="3860"/>
        </w:tabs>
        <w:kinsoku/>
        <w:wordWrap/>
        <w:overflowPunct/>
        <w:topLinePunct w:val="0"/>
        <w:autoSpaceDE/>
        <w:autoSpaceDN/>
        <w:bidi w:val="0"/>
        <w:adjustRightInd/>
        <w:snapToGrid w:val="0"/>
        <w:spacing w:after="120" w:afterAutospacing="0" w:line="360" w:lineRule="auto"/>
        <w:ind w:left="480" w:leftChars="0" w:firstLine="0" w:firstLineChars="0"/>
        <w:textAlignment w:val="auto"/>
        <w:outlineLvl w:val="9"/>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甲方：  </w:t>
      </w:r>
    </w:p>
    <w:p w14:paraId="024929B5">
      <w:pPr>
        <w:pStyle w:val="19"/>
        <w:widowControl/>
        <w:ind w:left="0" w:leftChars="0" w:firstLine="480" w:firstLineChars="200"/>
        <w:rPr>
          <w:highlight w:val="none"/>
        </w:rPr>
      </w:pPr>
      <w:r>
        <w:rPr>
          <w:highlight w:val="none"/>
        </w:rPr>
        <w:t xml:space="preserve">（盖章） </w:t>
      </w:r>
    </w:p>
    <w:p w14:paraId="1DB94827">
      <w:pPr>
        <w:pStyle w:val="19"/>
        <w:widowControl/>
        <w:ind w:left="0" w:leftChars="0" w:firstLine="480" w:firstLineChars="200"/>
        <w:rPr>
          <w:highlight w:val="none"/>
        </w:rPr>
      </w:pPr>
      <w:r>
        <w:rPr>
          <w:highlight w:val="none"/>
        </w:rPr>
        <w:t>签约人：</w:t>
      </w:r>
    </w:p>
    <w:p w14:paraId="1501E9BC">
      <w:pPr>
        <w:pStyle w:val="19"/>
        <w:widowControl/>
        <w:ind w:left="0" w:leftChars="0" w:firstLine="480" w:firstLineChars="200"/>
        <w:rPr>
          <w:highlight w:val="none"/>
        </w:rPr>
      </w:pPr>
      <w:r>
        <w:rPr>
          <w:highlight w:val="none"/>
        </w:rPr>
        <w:t>签约日期：</w:t>
      </w:r>
    </w:p>
    <w:p w14:paraId="7FB26964">
      <w:pPr>
        <w:pStyle w:val="19"/>
        <w:widowControl/>
        <w:ind w:left="0" w:leftChars="0" w:firstLine="480" w:firstLineChars="200"/>
        <w:rPr>
          <w:highlight w:val="none"/>
        </w:rPr>
      </w:pPr>
      <w:r>
        <w:rPr>
          <w:highlight w:val="none"/>
        </w:rPr>
        <w:t>乙方：</w:t>
      </w:r>
    </w:p>
    <w:p w14:paraId="26E2AE36">
      <w:pPr>
        <w:pStyle w:val="19"/>
        <w:widowControl/>
        <w:ind w:left="0" w:leftChars="0" w:firstLine="480" w:firstLineChars="200"/>
        <w:rPr>
          <w:highlight w:val="none"/>
        </w:rPr>
      </w:pPr>
      <w:r>
        <w:rPr>
          <w:highlight w:val="none"/>
        </w:rPr>
        <w:t>（盖章）</w:t>
      </w:r>
    </w:p>
    <w:p w14:paraId="648669F8">
      <w:pPr>
        <w:pStyle w:val="19"/>
        <w:widowControl/>
        <w:ind w:left="0" w:leftChars="0" w:firstLine="480" w:firstLineChars="200"/>
        <w:rPr>
          <w:highlight w:val="none"/>
        </w:rPr>
      </w:pPr>
      <w:r>
        <w:rPr>
          <w:highlight w:val="none"/>
        </w:rPr>
        <w:t xml:space="preserve">签约人：  </w:t>
      </w:r>
    </w:p>
    <w:p w14:paraId="0DB2D574">
      <w:pPr>
        <w:pStyle w:val="19"/>
        <w:widowControl/>
        <w:ind w:left="0" w:leftChars="0" w:firstLine="480" w:firstLineChars="200"/>
        <w:rPr>
          <w:highlight w:val="none"/>
        </w:rPr>
      </w:pPr>
      <w:r>
        <w:rPr>
          <w:highlight w:val="none"/>
        </w:rPr>
        <w:t>签约日期：</w:t>
      </w:r>
    </w:p>
    <w:p w14:paraId="1701C4BB">
      <w:pPr>
        <w:rPr>
          <w:rFonts w:hint="eastAsia" w:ascii="Arial" w:hAnsi="Arial" w:cs="Arial"/>
          <w:szCs w:val="21"/>
          <w:highlight w:val="none"/>
        </w:rPr>
      </w:pPr>
    </w:p>
    <w:p w14:paraId="0F856D05">
      <w:pPr>
        <w:tabs>
          <w:tab w:val="left" w:pos="2858"/>
        </w:tabs>
        <w:jc w:val="left"/>
        <w:rPr>
          <w:rFonts w:hint="eastAsia"/>
          <w:highlight w:val="none"/>
        </w:rPr>
      </w:pPr>
    </w:p>
    <w:p w14:paraId="70CDED36">
      <w:pPr>
        <w:rPr>
          <w:highlight w:val="none"/>
        </w:rPr>
      </w:pPr>
      <w:bookmarkStart w:id="861" w:name="_Toc231977637"/>
      <w:bookmarkStart w:id="862" w:name="_Toc33284321"/>
      <w:bookmarkStart w:id="863" w:name="_Toc219268022"/>
      <w:bookmarkStart w:id="864" w:name="_Toc177660968"/>
      <w:r>
        <w:rPr>
          <w:highlight w:val="none"/>
        </w:rPr>
        <w:br w:type="page"/>
      </w:r>
    </w:p>
    <w:bookmarkEnd w:id="861"/>
    <w:bookmarkEnd w:id="862"/>
    <w:bookmarkEnd w:id="863"/>
    <w:p w14:paraId="157B4599">
      <w:pPr>
        <w:pStyle w:val="300"/>
        <w:numPr>
          <w:ilvl w:val="0"/>
          <w:numId w:val="78"/>
        </w:numPr>
        <w:tabs>
          <w:tab w:val="left" w:pos="1600"/>
          <w:tab w:val="clear" w:pos="210"/>
        </w:tabs>
        <w:ind w:left="0" w:leftChars="0" w:firstLine="640" w:firstLineChars="200"/>
        <w:outlineLvl w:val="0"/>
        <w:rPr>
          <w:b w:val="0"/>
          <w:highlight w:val="none"/>
        </w:rPr>
      </w:pPr>
      <w:r>
        <w:rPr>
          <w:highlight w:val="none"/>
        </w:rPr>
        <w:t>比选人要求</w:t>
      </w:r>
      <w:bookmarkEnd w:id="864"/>
    </w:p>
    <w:p w14:paraId="3331A2C4">
      <w:pPr>
        <w:pStyle w:val="2"/>
        <w:widowControl/>
        <w:numPr>
          <w:ilvl w:val="0"/>
          <w:numId w:val="79"/>
        </w:numPr>
        <w:tabs>
          <w:tab w:val="left" w:pos="960"/>
        </w:tabs>
        <w:topLinePunct w:val="0"/>
        <w:ind w:left="0" w:leftChars="0" w:firstLine="480" w:firstLineChars="200"/>
        <w:rPr>
          <w:b/>
          <w:highlight w:val="none"/>
        </w:rPr>
      </w:pPr>
      <w:r>
        <w:rPr>
          <w:highlight w:val="none"/>
        </w:rPr>
        <w:t>项目概况</w:t>
      </w:r>
    </w:p>
    <w:p w14:paraId="7DEC17B8">
      <w:pPr>
        <w:pStyle w:val="19"/>
        <w:widowControl/>
        <w:ind w:left="0" w:leftChars="0" w:firstLine="480" w:firstLineChars="200"/>
        <w:rPr>
          <w:b/>
          <w:highlight w:val="none"/>
        </w:rPr>
      </w:pPr>
      <w:r>
        <w:rPr>
          <w:highlight w:val="none"/>
        </w:rPr>
        <w:t>本项目为</w:t>
      </w:r>
      <w:r>
        <w:rPr>
          <w:rFonts w:hint="eastAsia"/>
          <w:highlight w:val="none"/>
          <w:lang w:eastAsia="zh-CN"/>
        </w:rPr>
        <w:t>四川瑞华合纵实业有限公司成品铟物流运输服务采购项目（第二次）</w:t>
      </w:r>
      <w:r>
        <w:rPr>
          <w:highlight w:val="none"/>
        </w:rPr>
        <w:t>为其单位提供成品铟物流运输服务。</w:t>
      </w:r>
    </w:p>
    <w:p w14:paraId="3A6E69B9">
      <w:pPr>
        <w:pStyle w:val="2"/>
        <w:widowControl/>
        <w:numPr>
          <w:ilvl w:val="0"/>
          <w:numId w:val="79"/>
        </w:numPr>
        <w:tabs>
          <w:tab w:val="left" w:pos="960"/>
        </w:tabs>
        <w:topLinePunct w:val="0"/>
        <w:ind w:left="0" w:leftChars="0" w:firstLine="480" w:firstLineChars="200"/>
        <w:rPr>
          <w:b/>
          <w:highlight w:val="none"/>
        </w:rPr>
      </w:pPr>
      <w:r>
        <w:rPr>
          <w:highlight w:val="none"/>
        </w:rPr>
        <w:t>服务内容及要求</w:t>
      </w:r>
    </w:p>
    <w:p w14:paraId="72F2C8B5">
      <w:pPr>
        <w:pStyle w:val="19"/>
        <w:widowControl/>
        <w:ind w:left="0" w:leftChars="0" w:firstLine="480" w:firstLineChars="200"/>
        <w:rPr>
          <w:highlight w:val="none"/>
        </w:rPr>
      </w:pPr>
      <w:r>
        <w:rPr>
          <w:highlight w:val="none"/>
        </w:rPr>
        <w:t>成品仓库至国内客户指定地点运输路线，具体路线根据项目实际需求确定，涉及多个省市地区。包括货物的装卸、运输、配送、货物跟踪、信息反馈、保险、售后服务等全方位物流运输服务。</w:t>
      </w:r>
    </w:p>
    <w:p w14:paraId="1F37D0A6">
      <w:pPr>
        <w:pStyle w:val="2"/>
        <w:widowControl/>
        <w:numPr>
          <w:ilvl w:val="0"/>
          <w:numId w:val="79"/>
        </w:numPr>
        <w:tabs>
          <w:tab w:val="left" w:pos="960"/>
        </w:tabs>
        <w:topLinePunct w:val="0"/>
        <w:ind w:left="0" w:leftChars="0" w:firstLine="480" w:firstLineChars="200"/>
        <w:rPr>
          <w:b/>
          <w:highlight w:val="none"/>
        </w:rPr>
      </w:pPr>
      <w:r>
        <w:rPr>
          <w:highlight w:val="none"/>
        </w:rPr>
        <w:t>其他要求</w:t>
      </w:r>
    </w:p>
    <w:p w14:paraId="227E4F5F">
      <w:pPr>
        <w:pStyle w:val="19"/>
        <w:widowControl/>
        <w:ind w:left="0" w:leftChars="0" w:firstLine="480" w:firstLineChars="200"/>
        <w:rPr>
          <w:highlight w:val="none"/>
        </w:rPr>
      </w:pPr>
      <w:r>
        <w:rPr>
          <w:highlight w:val="none"/>
        </w:rPr>
        <w:t>1、比选申请人的报价是满足项目需求全部内容的价格体现，即为完成本项目所涉及的一切费用。</w:t>
      </w:r>
    </w:p>
    <w:p w14:paraId="06146E2A">
      <w:pPr>
        <w:pStyle w:val="2"/>
        <w:widowControl/>
        <w:numPr>
          <w:ilvl w:val="0"/>
          <w:numId w:val="79"/>
        </w:numPr>
        <w:tabs>
          <w:tab w:val="left" w:pos="960"/>
        </w:tabs>
        <w:topLinePunct w:val="0"/>
        <w:ind w:left="0" w:leftChars="0" w:firstLine="480" w:firstLineChars="200"/>
        <w:rPr>
          <w:b/>
          <w:highlight w:val="none"/>
        </w:rPr>
      </w:pPr>
      <w:r>
        <w:rPr>
          <w:highlight w:val="none"/>
        </w:rPr>
        <w:t>商务要求</w:t>
      </w:r>
    </w:p>
    <w:p w14:paraId="0856BED9">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服务期限：自合同签订之日起1年。</w:t>
      </w:r>
    </w:p>
    <w:p w14:paraId="11E15234">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服务地点：比选人指定地点。</w:t>
      </w:r>
    </w:p>
    <w:p w14:paraId="48372A1A">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质量要求：满足比选人要求。</w:t>
      </w:r>
    </w:p>
    <w:p w14:paraId="7203B39E">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付款方式：次月支付上月运输费用。</w:t>
      </w:r>
    </w:p>
    <w:p w14:paraId="3A6DE813">
      <w:pPr>
        <w:pStyle w:val="19"/>
        <w:widowControl/>
        <w:numPr>
          <w:ilvl w:val="0"/>
          <w:numId w:val="80"/>
        </w:numPr>
        <w:tabs>
          <w:tab w:val="left" w:pos="840"/>
        </w:tabs>
        <w:topLinePunct w:val="0"/>
        <w:ind w:left="0" w:leftChars="0" w:firstLine="480" w:firstLineChars="200"/>
        <w:rPr>
          <w:rFonts w:hint="eastAsia" w:ascii="宋体" w:hAnsi="宋体" w:eastAsia="宋体" w:cs="宋体"/>
          <w:b w:val="0"/>
          <w:highlight w:val="none"/>
        </w:rPr>
      </w:pPr>
      <w:r>
        <w:rPr>
          <w:highlight w:val="none"/>
        </w:rPr>
        <w:t>其他要求：无。</w:t>
      </w:r>
    </w:p>
    <w:p w14:paraId="0E2AC62A">
      <w:pPr>
        <w:spacing w:line="360" w:lineRule="auto"/>
        <w:ind w:firstLine="480" w:firstLineChars="200"/>
        <w:rPr>
          <w:rFonts w:hint="eastAsia" w:ascii="宋体" w:hAnsi="宋体"/>
          <w:highlight w:val="none"/>
        </w:rPr>
      </w:pPr>
    </w:p>
    <w:p w14:paraId="184E46B6">
      <w:pPr>
        <w:spacing w:line="360" w:lineRule="auto"/>
        <w:rPr>
          <w:rFonts w:hint="eastAsia" w:ascii="宋体" w:hAnsi="宋体"/>
          <w:b/>
          <w:sz w:val="28"/>
          <w:szCs w:val="28"/>
          <w:highlight w:val="none"/>
        </w:rPr>
      </w:pPr>
      <w:r>
        <w:rPr>
          <w:rFonts w:ascii="宋体" w:hAnsi="宋体"/>
          <w:sz w:val="28"/>
          <w:szCs w:val="28"/>
          <w:highlight w:val="none"/>
        </w:rPr>
        <w:br w:type="page"/>
      </w:r>
    </w:p>
    <w:bookmarkEnd w:id="858"/>
    <w:bookmarkEnd w:id="859"/>
    <w:bookmarkEnd w:id="860"/>
    <w:p w14:paraId="7D4017C2">
      <w:pPr>
        <w:pStyle w:val="300"/>
        <w:numPr>
          <w:ilvl w:val="0"/>
          <w:numId w:val="78"/>
        </w:numPr>
        <w:tabs>
          <w:tab w:val="left" w:pos="1600"/>
          <w:tab w:val="clear" w:pos="210"/>
        </w:tabs>
        <w:ind w:left="0" w:leftChars="0" w:firstLine="640" w:firstLineChars="200"/>
        <w:outlineLvl w:val="0"/>
        <w:rPr>
          <w:b w:val="0"/>
          <w:highlight w:val="none"/>
        </w:rPr>
      </w:pPr>
      <w:bookmarkStart w:id="865" w:name="_Toc177660969"/>
      <w:r>
        <w:rPr>
          <w:highlight w:val="none"/>
        </w:rPr>
        <w:t>比选申请文件格式</w:t>
      </w:r>
      <w:bookmarkEnd w:id="865"/>
    </w:p>
    <w:p w14:paraId="20D2FDEC">
      <w:pPr>
        <w:spacing w:line="360" w:lineRule="auto"/>
        <w:ind w:right="560"/>
        <w:jc w:val="right"/>
        <w:rPr>
          <w:rFonts w:hint="eastAsia" w:ascii="宋体" w:hAnsi="宋体"/>
          <w:b/>
          <w:sz w:val="36"/>
          <w:szCs w:val="36"/>
          <w:highlight w:val="none"/>
        </w:rPr>
      </w:pPr>
      <w:r>
        <w:rPr>
          <w:rFonts w:ascii="宋体" w:hAnsi="宋体"/>
          <w:highlight w:val="none"/>
        </w:rPr>
        <w:br w:type="page"/>
      </w:r>
      <w:r>
        <w:rPr>
          <w:rFonts w:hint="eastAsia" w:ascii="宋体" w:hAnsi="宋体"/>
          <w:sz w:val="28"/>
          <w:szCs w:val="28"/>
          <w:highlight w:val="none"/>
        </w:rPr>
        <w:t>正本（副本）</w:t>
      </w:r>
    </w:p>
    <w:p w14:paraId="4FDBBBB0">
      <w:pPr>
        <w:pStyle w:val="50"/>
        <w:widowControl/>
        <w:rPr>
          <w:rFonts w:hint="eastAsia" w:eastAsia="宋体"/>
          <w:highlight w:val="none"/>
          <w:lang w:eastAsia="zh-CN"/>
        </w:rPr>
      </w:pPr>
      <w:r>
        <w:rPr>
          <w:rFonts w:hint="eastAsia"/>
          <w:highlight w:val="none"/>
          <w:lang w:eastAsia="zh-CN"/>
        </w:rPr>
        <w:t>四川瑞华合纵实业有限公司成品铟物流运输服务采购项目（第二次）</w:t>
      </w:r>
    </w:p>
    <w:p w14:paraId="5B04DA23">
      <w:pPr>
        <w:spacing w:line="360" w:lineRule="auto"/>
        <w:jc w:val="center"/>
        <w:rPr>
          <w:rFonts w:hint="eastAsia" w:ascii="宋体" w:hAnsi="宋体"/>
          <w:szCs w:val="21"/>
          <w:highlight w:val="none"/>
        </w:rPr>
      </w:pPr>
    </w:p>
    <w:p w14:paraId="78280CB0">
      <w:pPr>
        <w:spacing w:line="360" w:lineRule="auto"/>
        <w:jc w:val="center"/>
        <w:rPr>
          <w:rFonts w:hint="eastAsia" w:ascii="宋体" w:hAnsi="宋体"/>
          <w:szCs w:val="21"/>
          <w:highlight w:val="none"/>
        </w:rPr>
      </w:pPr>
    </w:p>
    <w:p w14:paraId="169FDCEE">
      <w:pPr>
        <w:spacing w:line="360" w:lineRule="auto"/>
        <w:jc w:val="center"/>
        <w:rPr>
          <w:rFonts w:hint="eastAsia" w:ascii="宋体" w:hAnsi="宋体"/>
          <w:szCs w:val="21"/>
          <w:highlight w:val="none"/>
        </w:rPr>
      </w:pPr>
    </w:p>
    <w:p w14:paraId="17CBDC9D">
      <w:pPr>
        <w:spacing w:line="360" w:lineRule="auto"/>
        <w:jc w:val="center"/>
        <w:rPr>
          <w:rFonts w:hint="eastAsia" w:ascii="宋体" w:hAnsi="宋体"/>
          <w:szCs w:val="21"/>
          <w:highlight w:val="none"/>
        </w:rPr>
      </w:pPr>
    </w:p>
    <w:p w14:paraId="7AD379DD">
      <w:pPr>
        <w:spacing w:line="360" w:lineRule="auto"/>
        <w:jc w:val="center"/>
        <w:rPr>
          <w:rFonts w:hint="eastAsia" w:ascii="宋体" w:hAnsi="宋体"/>
          <w:szCs w:val="21"/>
          <w:highlight w:val="none"/>
        </w:rPr>
      </w:pPr>
    </w:p>
    <w:p w14:paraId="08EA6AB1">
      <w:pPr>
        <w:spacing w:line="360" w:lineRule="auto"/>
        <w:jc w:val="center"/>
        <w:rPr>
          <w:rFonts w:hint="eastAsia" w:ascii="宋体" w:hAnsi="宋体"/>
          <w:szCs w:val="21"/>
          <w:highlight w:val="none"/>
        </w:rPr>
      </w:pPr>
    </w:p>
    <w:p w14:paraId="3714FB4B">
      <w:pPr>
        <w:spacing w:line="360" w:lineRule="auto"/>
        <w:jc w:val="center"/>
        <w:rPr>
          <w:rFonts w:hint="eastAsia" w:ascii="宋体" w:hAnsi="宋体"/>
          <w:b/>
          <w:sz w:val="52"/>
          <w:szCs w:val="52"/>
          <w:highlight w:val="none"/>
        </w:rPr>
      </w:pPr>
      <w:r>
        <w:rPr>
          <w:rFonts w:hint="eastAsia" w:ascii="宋体" w:hAnsi="宋体"/>
          <w:b/>
          <w:sz w:val="72"/>
          <w:szCs w:val="72"/>
          <w:highlight w:val="none"/>
        </w:rPr>
        <w:t>比选申请文件</w:t>
      </w:r>
    </w:p>
    <w:p w14:paraId="48F6314D">
      <w:pPr>
        <w:spacing w:line="360" w:lineRule="auto"/>
        <w:jc w:val="center"/>
        <w:rPr>
          <w:rFonts w:hint="eastAsia" w:ascii="宋体" w:hAnsi="宋体"/>
          <w:szCs w:val="21"/>
          <w:highlight w:val="none"/>
        </w:rPr>
      </w:pPr>
    </w:p>
    <w:p w14:paraId="1DCD26C6">
      <w:pPr>
        <w:spacing w:line="360" w:lineRule="auto"/>
        <w:jc w:val="center"/>
        <w:rPr>
          <w:rFonts w:hint="eastAsia" w:ascii="宋体" w:hAnsi="宋体"/>
          <w:szCs w:val="21"/>
          <w:highlight w:val="none"/>
        </w:rPr>
      </w:pPr>
    </w:p>
    <w:p w14:paraId="389B28DC">
      <w:pPr>
        <w:spacing w:line="360" w:lineRule="auto"/>
        <w:jc w:val="center"/>
        <w:rPr>
          <w:rFonts w:hint="eastAsia" w:ascii="宋体" w:hAnsi="宋体"/>
          <w:szCs w:val="21"/>
          <w:highlight w:val="none"/>
        </w:rPr>
      </w:pPr>
    </w:p>
    <w:p w14:paraId="015FD07F">
      <w:pPr>
        <w:spacing w:line="360" w:lineRule="auto"/>
        <w:rPr>
          <w:rFonts w:hint="eastAsia" w:ascii="宋体" w:hAnsi="宋体"/>
          <w:szCs w:val="21"/>
          <w:highlight w:val="none"/>
        </w:rPr>
      </w:pPr>
    </w:p>
    <w:p w14:paraId="641A2D1C">
      <w:pPr>
        <w:spacing w:line="360" w:lineRule="auto"/>
        <w:jc w:val="center"/>
        <w:rPr>
          <w:rFonts w:hint="eastAsia" w:ascii="宋体" w:hAnsi="宋体"/>
          <w:szCs w:val="21"/>
          <w:highlight w:val="none"/>
        </w:rPr>
      </w:pPr>
    </w:p>
    <w:p w14:paraId="453C0E3E">
      <w:pPr>
        <w:spacing w:line="360" w:lineRule="auto"/>
        <w:jc w:val="center"/>
        <w:rPr>
          <w:rFonts w:hint="eastAsia" w:ascii="宋体" w:hAnsi="宋体"/>
          <w:b/>
          <w:sz w:val="32"/>
          <w:szCs w:val="32"/>
          <w:highlight w:val="none"/>
        </w:rPr>
      </w:pPr>
      <w:r>
        <w:rPr>
          <w:rFonts w:hint="eastAsia" w:ascii="宋体" w:hAnsi="宋体"/>
          <w:sz w:val="30"/>
          <w:szCs w:val="30"/>
          <w:highlight w:val="none"/>
        </w:rPr>
        <w:t xml:space="preserve">  </w:t>
      </w:r>
      <w:r>
        <w:rPr>
          <w:rFonts w:hint="eastAsia" w:ascii="宋体" w:hAnsi="宋体"/>
          <w:b/>
          <w:sz w:val="32"/>
          <w:szCs w:val="32"/>
          <w:highlight w:val="none"/>
        </w:rPr>
        <w:t>比选申请人：</w:t>
      </w: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r>
        <w:rPr>
          <w:rFonts w:hint="eastAsia" w:ascii="宋体" w:hAnsi="宋体"/>
          <w:b/>
          <w:sz w:val="32"/>
          <w:szCs w:val="32"/>
          <w:highlight w:val="none"/>
        </w:rPr>
        <w:t>（盖单位章）</w:t>
      </w:r>
    </w:p>
    <w:p w14:paraId="16BBDA41">
      <w:pPr>
        <w:spacing w:line="360" w:lineRule="auto"/>
        <w:jc w:val="center"/>
        <w:rPr>
          <w:rFonts w:hint="eastAsia" w:ascii="宋体" w:hAnsi="宋体"/>
          <w:b/>
          <w:szCs w:val="32"/>
          <w:highlight w:val="none"/>
        </w:rPr>
      </w:pPr>
      <w:r>
        <w:rPr>
          <w:rFonts w:hint="eastAsia" w:ascii="宋体" w:hAnsi="宋体"/>
          <w:b/>
          <w:szCs w:val="32"/>
          <w:highlight w:val="none"/>
        </w:rPr>
        <w:t xml:space="preserve"> 法定代表人（或单位负责人）或其委托代理人：</w:t>
      </w:r>
      <w:r>
        <w:rPr>
          <w:rFonts w:hint="eastAsia" w:ascii="宋体" w:hAnsi="宋体"/>
          <w:b/>
          <w:szCs w:val="32"/>
          <w:highlight w:val="none"/>
          <w:u w:val="single"/>
        </w:rPr>
        <w:t xml:space="preserve">            </w:t>
      </w:r>
      <w:r>
        <w:rPr>
          <w:rFonts w:hint="eastAsia" w:ascii="宋体" w:hAnsi="宋体"/>
          <w:b/>
          <w:szCs w:val="32"/>
          <w:highlight w:val="none"/>
        </w:rPr>
        <w:t>（签字或盖章）</w:t>
      </w:r>
    </w:p>
    <w:p w14:paraId="700D68B2">
      <w:pPr>
        <w:spacing w:line="360" w:lineRule="auto"/>
        <w:jc w:val="center"/>
        <w:rPr>
          <w:rFonts w:ascii="宋体" w:hAnsi="宋体"/>
          <w:b/>
          <w:sz w:val="32"/>
          <w:szCs w:val="32"/>
          <w:highlight w:val="non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p w14:paraId="58330BFD">
      <w:pPr>
        <w:pStyle w:val="299"/>
        <w:widowControl/>
        <w:rPr>
          <w:highlight w:val="none"/>
        </w:rPr>
      </w:pPr>
      <w:r>
        <w:rPr>
          <w:highlight w:val="none"/>
        </w:rPr>
        <w:br w:type="page"/>
      </w:r>
      <w:r>
        <w:rPr>
          <w:highlight w:val="none"/>
        </w:rPr>
        <w:t>目    录</w:t>
      </w:r>
    </w:p>
    <w:p w14:paraId="2F033082">
      <w:pPr>
        <w:spacing w:line="360" w:lineRule="auto"/>
        <w:rPr>
          <w:rFonts w:ascii="宋体" w:hAnsi="宋体"/>
          <w:szCs w:val="21"/>
          <w:highlight w:val="none"/>
        </w:rPr>
      </w:pPr>
      <w:r>
        <w:rPr>
          <w:rFonts w:ascii="宋体" w:hAnsi="宋体"/>
          <w:szCs w:val="21"/>
          <w:highlight w:val="none"/>
        </w:rPr>
        <w:t>一、</w:t>
      </w:r>
      <w:r>
        <w:rPr>
          <w:rFonts w:hint="eastAsia" w:ascii="宋体" w:hAnsi="宋体"/>
          <w:szCs w:val="21"/>
          <w:highlight w:val="none"/>
        </w:rPr>
        <w:t>比选申请</w:t>
      </w:r>
      <w:r>
        <w:rPr>
          <w:rFonts w:ascii="宋体" w:hAnsi="宋体"/>
          <w:szCs w:val="21"/>
          <w:highlight w:val="none"/>
        </w:rPr>
        <w:t>函</w:t>
      </w:r>
      <w:r>
        <w:rPr>
          <w:rFonts w:hint="eastAsia" w:ascii="宋体" w:hAnsi="宋体"/>
          <w:szCs w:val="21"/>
          <w:highlight w:val="none"/>
        </w:rPr>
        <w:t>及比选申请函附录</w:t>
      </w:r>
    </w:p>
    <w:p w14:paraId="35A2B174">
      <w:pPr>
        <w:spacing w:line="360" w:lineRule="auto"/>
        <w:rPr>
          <w:rFonts w:hint="eastAsia" w:ascii="宋体" w:hAnsi="宋体"/>
          <w:szCs w:val="21"/>
          <w:highlight w:val="none"/>
        </w:rPr>
      </w:pPr>
      <w:r>
        <w:rPr>
          <w:rFonts w:ascii="宋体" w:hAnsi="宋体"/>
          <w:szCs w:val="21"/>
          <w:highlight w:val="none"/>
        </w:rPr>
        <w:t>二、</w:t>
      </w:r>
      <w:r>
        <w:rPr>
          <w:rFonts w:hint="eastAsia" w:ascii="宋体" w:hAnsi="宋体"/>
          <w:szCs w:val="21"/>
          <w:highlight w:val="none"/>
        </w:rPr>
        <w:t>法定代表人（或单位负责人）</w:t>
      </w:r>
      <w:r>
        <w:rPr>
          <w:rFonts w:ascii="宋体" w:hAnsi="宋体"/>
          <w:szCs w:val="21"/>
          <w:highlight w:val="none"/>
        </w:rPr>
        <w:t>身份证明</w:t>
      </w:r>
    </w:p>
    <w:p w14:paraId="028D95AB">
      <w:pPr>
        <w:spacing w:line="360" w:lineRule="auto"/>
        <w:rPr>
          <w:rFonts w:hint="eastAsia" w:ascii="宋体" w:hAnsi="宋体"/>
          <w:szCs w:val="21"/>
          <w:highlight w:val="none"/>
        </w:rPr>
      </w:pPr>
      <w:r>
        <w:rPr>
          <w:rFonts w:ascii="宋体" w:hAnsi="宋体"/>
          <w:szCs w:val="21"/>
          <w:highlight w:val="none"/>
        </w:rPr>
        <w:t>三、授权委托书</w:t>
      </w:r>
    </w:p>
    <w:p w14:paraId="611F7186">
      <w:pPr>
        <w:spacing w:line="360" w:lineRule="auto"/>
        <w:rPr>
          <w:rFonts w:hint="eastAsia" w:ascii="宋体" w:hAnsi="宋体"/>
          <w:szCs w:val="21"/>
          <w:highlight w:val="none"/>
        </w:rPr>
      </w:pPr>
      <w:r>
        <w:rPr>
          <w:rFonts w:ascii="宋体" w:hAnsi="宋体"/>
          <w:szCs w:val="21"/>
          <w:highlight w:val="none"/>
        </w:rPr>
        <w:t>四、</w:t>
      </w:r>
      <w:r>
        <w:rPr>
          <w:rFonts w:hint="eastAsia" w:ascii="宋体" w:hAnsi="宋体"/>
          <w:szCs w:val="21"/>
          <w:highlight w:val="none"/>
        </w:rPr>
        <w:t>基本情况表</w:t>
      </w:r>
    </w:p>
    <w:p w14:paraId="12101AFF">
      <w:pPr>
        <w:pStyle w:val="241"/>
        <w:spacing w:line="360" w:lineRule="auto"/>
        <w:rPr>
          <w:rFonts w:hint="eastAsia" w:ascii="宋体" w:hAnsi="宋体" w:cs="Times New Roman"/>
          <w:kern w:val="0"/>
          <w:sz w:val="24"/>
          <w:szCs w:val="21"/>
          <w:highlight w:val="none"/>
        </w:rPr>
      </w:pPr>
      <w:r>
        <w:rPr>
          <w:rFonts w:hint="eastAsia" w:ascii="宋体" w:hAnsi="宋体" w:cs="Times New Roman"/>
          <w:kern w:val="0"/>
          <w:sz w:val="24"/>
          <w:szCs w:val="21"/>
          <w:highlight w:val="none"/>
        </w:rPr>
        <w:t>五、类似业绩</w:t>
      </w:r>
    </w:p>
    <w:p w14:paraId="7A85C66F">
      <w:pPr>
        <w:spacing w:line="360" w:lineRule="auto"/>
        <w:rPr>
          <w:rFonts w:hint="eastAsia" w:ascii="宋体" w:hAnsi="宋体"/>
          <w:szCs w:val="21"/>
          <w:highlight w:val="none"/>
        </w:rPr>
      </w:pPr>
      <w:r>
        <w:rPr>
          <w:rFonts w:hint="eastAsia" w:ascii="宋体" w:hAnsi="宋体"/>
          <w:szCs w:val="21"/>
          <w:highlight w:val="none"/>
        </w:rPr>
        <w:t>六</w:t>
      </w:r>
      <w:r>
        <w:rPr>
          <w:rFonts w:ascii="宋体" w:hAnsi="宋体"/>
          <w:szCs w:val="21"/>
          <w:highlight w:val="none"/>
        </w:rPr>
        <w:t>、</w:t>
      </w:r>
      <w:r>
        <w:rPr>
          <w:rFonts w:hint="eastAsia" w:ascii="宋体" w:hAnsi="宋体" w:cs="宋体"/>
          <w:szCs w:val="21"/>
          <w:highlight w:val="none"/>
        </w:rPr>
        <w:t>主要人员配备情况表</w:t>
      </w:r>
    </w:p>
    <w:p w14:paraId="0CE7626F">
      <w:pPr>
        <w:spacing w:line="360" w:lineRule="auto"/>
        <w:rPr>
          <w:rFonts w:hint="eastAsia" w:ascii="宋体" w:hAnsi="宋体" w:cs="宋体"/>
          <w:szCs w:val="21"/>
          <w:highlight w:val="none"/>
        </w:rPr>
      </w:pPr>
      <w:r>
        <w:rPr>
          <w:rFonts w:hint="eastAsia" w:ascii="宋体" w:hAnsi="宋体" w:cs="宋体"/>
          <w:szCs w:val="21"/>
          <w:highlight w:val="none"/>
        </w:rPr>
        <w:t>七、</w:t>
      </w:r>
      <w:r>
        <w:rPr>
          <w:rFonts w:hint="eastAsia" w:ascii="宋体" w:hAnsi="宋体"/>
          <w:szCs w:val="21"/>
          <w:highlight w:val="none"/>
        </w:rPr>
        <w:t>项目实施方案</w:t>
      </w:r>
    </w:p>
    <w:p w14:paraId="625E0B98">
      <w:pPr>
        <w:spacing w:line="360" w:lineRule="auto"/>
        <w:rPr>
          <w:rFonts w:hint="eastAsia" w:ascii="宋体" w:hAnsi="宋体"/>
          <w:highlight w:val="none"/>
        </w:rPr>
      </w:pPr>
      <w:r>
        <w:rPr>
          <w:rFonts w:hint="eastAsia" w:ascii="宋体" w:hAnsi="宋体"/>
          <w:szCs w:val="21"/>
          <w:highlight w:val="none"/>
        </w:rPr>
        <w:t>八</w:t>
      </w:r>
      <w:r>
        <w:rPr>
          <w:rFonts w:ascii="宋体" w:hAnsi="宋体"/>
          <w:szCs w:val="21"/>
          <w:highlight w:val="none"/>
        </w:rPr>
        <w:t>、其他资料</w:t>
      </w:r>
    </w:p>
    <w:p w14:paraId="4FDF4FC9">
      <w:pPr>
        <w:spacing w:line="360" w:lineRule="auto"/>
        <w:rPr>
          <w:rFonts w:hint="eastAsia" w:ascii="宋体" w:hAnsi="宋体"/>
          <w:b/>
          <w:sz w:val="44"/>
          <w:szCs w:val="44"/>
          <w:highlight w:val="none"/>
        </w:rPr>
      </w:pPr>
    </w:p>
    <w:p w14:paraId="428CF45D">
      <w:pPr>
        <w:spacing w:line="360" w:lineRule="auto"/>
        <w:rPr>
          <w:rFonts w:hint="eastAsia" w:ascii="宋体" w:hAnsi="宋体"/>
          <w:b/>
          <w:sz w:val="44"/>
          <w:szCs w:val="44"/>
          <w:highlight w:val="none"/>
        </w:rPr>
      </w:pPr>
    </w:p>
    <w:p w14:paraId="34A2CDF5">
      <w:pPr>
        <w:pStyle w:val="19"/>
        <w:widowControl/>
        <w:ind w:left="0" w:leftChars="0" w:firstLine="480" w:firstLineChars="200"/>
        <w:rPr>
          <w:highlight w:val="none"/>
        </w:rPr>
      </w:pPr>
      <w:r>
        <w:rPr>
          <w:highlight w:val="none"/>
        </w:rPr>
        <w:t>注：</w:t>
      </w:r>
    </w:p>
    <w:p w14:paraId="19242D8C">
      <w:pPr>
        <w:pStyle w:val="19"/>
        <w:widowControl/>
        <w:numPr>
          <w:ilvl w:val="0"/>
          <w:numId w:val="81"/>
        </w:numPr>
        <w:tabs>
          <w:tab w:val="left" w:pos="840"/>
        </w:tabs>
        <w:topLinePunct w:val="0"/>
        <w:ind w:left="0" w:leftChars="0" w:firstLine="480" w:firstLineChars="200"/>
        <w:rPr>
          <w:rFonts w:hint="eastAsia" w:ascii="宋体" w:hAnsi="宋体" w:eastAsia="宋体" w:cs="宋体"/>
          <w:b w:val="0"/>
          <w:highlight w:val="none"/>
        </w:rPr>
      </w:pPr>
      <w:r>
        <w:rPr>
          <w:highlight w:val="none"/>
        </w:rPr>
        <w:t>上述目录供比选申请人参考，比选申请人根据情况可自行对比选申请文件进行分册（如商务、资审、技术或第一册、第二册等形式分册），目录可按照具体内容自动生成。</w:t>
      </w:r>
    </w:p>
    <w:p w14:paraId="2CCD2AA4">
      <w:pPr>
        <w:pStyle w:val="19"/>
        <w:widowControl/>
        <w:numPr>
          <w:ilvl w:val="0"/>
          <w:numId w:val="81"/>
        </w:numPr>
        <w:tabs>
          <w:tab w:val="left" w:pos="840"/>
        </w:tabs>
        <w:topLinePunct w:val="0"/>
        <w:ind w:left="0" w:leftChars="0" w:firstLine="480" w:firstLineChars="200"/>
        <w:rPr>
          <w:rFonts w:hint="eastAsia" w:ascii="宋体" w:hAnsi="宋体" w:eastAsia="宋体" w:cs="宋体"/>
          <w:b w:val="0"/>
          <w:highlight w:val="none"/>
        </w:rPr>
      </w:pPr>
      <w:r>
        <w:rPr>
          <w:highlight w:val="none"/>
        </w:rPr>
        <w:t>比选申请文件中的“注”仅为更好的为比选申请人解释比选申请文件格式，各比选申请人在编制比选申请文件时，可自行删除“注”的内容。</w:t>
      </w:r>
    </w:p>
    <w:p w14:paraId="5E7BF971">
      <w:pPr>
        <w:pStyle w:val="19"/>
        <w:widowControl/>
        <w:numPr>
          <w:ilvl w:val="0"/>
          <w:numId w:val="81"/>
        </w:numPr>
        <w:tabs>
          <w:tab w:val="left" w:pos="840"/>
        </w:tabs>
        <w:topLinePunct w:val="0"/>
        <w:ind w:left="0" w:leftChars="0" w:firstLine="480" w:firstLineChars="200"/>
        <w:rPr>
          <w:rFonts w:hint="eastAsia" w:ascii="宋体" w:hAnsi="宋体" w:eastAsia="宋体" w:cs="宋体"/>
          <w:b w:val="0"/>
          <w:highlight w:val="none"/>
        </w:rPr>
      </w:pPr>
      <w:r>
        <w:rPr>
          <w:highlight w:val="none"/>
        </w:rPr>
        <w:t>比选申请文件中给出了格式的部分，各比选申请人按格式进行填写、补充即可（如在格式中相应位置的下划线上填写相关信息）；未给定格式的，由比选申请人自行编制。</w:t>
      </w:r>
    </w:p>
    <w:p w14:paraId="7A4E1E8D">
      <w:pPr>
        <w:rPr>
          <w:highlight w:val="none"/>
        </w:rPr>
      </w:pPr>
      <w:bookmarkStart w:id="866" w:name="_Toc25696"/>
      <w:bookmarkStart w:id="867" w:name="_Toc150512318"/>
      <w:bookmarkStart w:id="868" w:name="_Toc177660970"/>
      <w:bookmarkStart w:id="869" w:name="_Toc25073282"/>
      <w:bookmarkStart w:id="870" w:name="_Toc27468"/>
      <w:bookmarkStart w:id="871" w:name="_Toc25072913"/>
      <w:r>
        <w:rPr>
          <w:highlight w:val="none"/>
        </w:rPr>
        <w:br w:type="page"/>
      </w:r>
    </w:p>
    <w:p w14:paraId="044BD79F">
      <w:pPr>
        <w:pStyle w:val="2"/>
        <w:widowControl/>
        <w:numPr>
          <w:ilvl w:val="0"/>
          <w:numId w:val="82"/>
        </w:numPr>
        <w:tabs>
          <w:tab w:val="left" w:pos="1120"/>
        </w:tabs>
        <w:topLinePunct w:val="0"/>
        <w:ind w:left="0" w:leftChars="0" w:firstLine="480" w:firstLineChars="200"/>
        <w:rPr>
          <w:b/>
          <w:highlight w:val="none"/>
        </w:rPr>
      </w:pPr>
      <w:r>
        <w:rPr>
          <w:highlight w:val="none"/>
        </w:rPr>
        <w:t>比选申请函</w:t>
      </w:r>
      <w:bookmarkEnd w:id="866"/>
      <w:r>
        <w:rPr>
          <w:highlight w:val="none"/>
        </w:rPr>
        <w:t>及比选申请函附录</w:t>
      </w:r>
      <w:bookmarkEnd w:id="867"/>
      <w:bookmarkEnd w:id="868"/>
      <w:bookmarkEnd w:id="869"/>
      <w:bookmarkEnd w:id="870"/>
      <w:bookmarkEnd w:id="871"/>
    </w:p>
    <w:p w14:paraId="6897308D">
      <w:pPr>
        <w:pStyle w:val="3"/>
        <w:widowControl/>
        <w:numPr>
          <w:ilvl w:val="0"/>
          <w:numId w:val="83"/>
        </w:numPr>
        <w:tabs>
          <w:tab w:val="left" w:pos="1360"/>
        </w:tabs>
        <w:topLinePunct w:val="0"/>
        <w:ind w:left="0" w:leftChars="0" w:firstLine="480" w:firstLineChars="200"/>
        <w:rPr>
          <w:rFonts w:hint="eastAsia" w:ascii="宋体" w:hAnsi="宋体" w:eastAsia="宋体" w:cs="宋体"/>
          <w:b/>
          <w:highlight w:val="none"/>
        </w:rPr>
      </w:pPr>
      <w:r>
        <w:rPr>
          <w:highlight w:val="none"/>
        </w:rPr>
        <w:t>比选申请函</w:t>
      </w:r>
    </w:p>
    <w:p w14:paraId="2B60A0D8">
      <w:pPr>
        <w:pStyle w:val="19"/>
        <w:widowControl/>
        <w:numPr>
          <w:ilvl w:val="0"/>
          <w:numId w:val="84"/>
        </w:numPr>
        <w:tabs>
          <w:tab w:val="left" w:pos="780"/>
          <w:tab w:val="clear" w:pos="210"/>
        </w:tabs>
        <w:ind w:left="0" w:leftChars="0" w:firstLine="480" w:firstLineChars="200"/>
        <w:rPr>
          <w:b w:val="0"/>
          <w:highlight w:val="none"/>
        </w:rPr>
      </w:pPr>
      <w:bookmarkStart w:id="872" w:name="OLE_LINK27"/>
      <w:r>
        <w:rPr>
          <w:highlight w:val="none"/>
        </w:rPr>
        <w:t>根据已收到的</w:t>
      </w:r>
      <w:r>
        <w:rPr>
          <w:rFonts w:hint="eastAsia"/>
          <w:highlight w:val="none"/>
          <w:u w:val="single"/>
          <w:lang w:eastAsia="zh-CN"/>
        </w:rPr>
        <w:t>四川瑞华合纵实业有限公司成品铟物流运输服务采购项目（第二次）</w:t>
      </w:r>
      <w:r>
        <w:rPr>
          <w:highlight w:val="none"/>
          <w:u w:val="single"/>
        </w:rPr>
        <w:t xml:space="preserve"> </w:t>
      </w:r>
      <w:r>
        <w:rPr>
          <w:highlight w:val="none"/>
        </w:rPr>
        <w:t>比选文件，经研究上述比选文件、技术标准及其他有关文件后，我方愿按上述比选文件、技术标准的条件要求承包上述项目货物的装卸、运输、配送、货物跟踪、信息反馈、保险、售后服务等全部内容，并承担任何质量缺陷保修责任。</w:t>
      </w:r>
    </w:p>
    <w:p w14:paraId="4A0AF81F">
      <w:pPr>
        <w:pStyle w:val="19"/>
        <w:widowControl/>
        <w:numPr>
          <w:ilvl w:val="0"/>
          <w:numId w:val="84"/>
        </w:numPr>
        <w:tabs>
          <w:tab w:val="left" w:pos="780"/>
          <w:tab w:val="clear" w:pos="210"/>
        </w:tabs>
        <w:ind w:left="0" w:leftChars="0" w:firstLine="480" w:firstLineChars="200"/>
        <w:rPr>
          <w:b w:val="0"/>
          <w:highlight w:val="none"/>
        </w:rPr>
      </w:pPr>
      <w:r>
        <w:rPr>
          <w:highlight w:val="none"/>
        </w:rPr>
        <w:t>我单位愿意以如下报价，按比选文件、技术要求的条件履行合同：</w:t>
      </w:r>
    </w:p>
    <w:bookmarkEnd w:id="872"/>
    <w:p w14:paraId="185175BD">
      <w:pPr>
        <w:pStyle w:val="19"/>
        <w:widowControl/>
        <w:tabs>
          <w:tab w:val="left" w:pos="480"/>
        </w:tabs>
        <w:ind w:left="0" w:leftChars="0" w:firstLine="480" w:firstLineChars="200"/>
        <w:rPr>
          <w:rFonts w:hint="eastAsia" w:eastAsia="宋体"/>
          <w:highlight w:val="none"/>
          <w:u w:val="none"/>
          <w:lang w:val="en-US" w:eastAsia="zh-CN"/>
        </w:rPr>
      </w:pPr>
      <w:bookmarkStart w:id="873" w:name="OLE_LINK36"/>
      <w:bookmarkStart w:id="874" w:name="OLE_LINK37"/>
      <w:r>
        <w:rPr>
          <w:rFonts w:hint="eastAsia"/>
          <w:highlight w:val="none"/>
          <w:u w:val="none"/>
        </w:rPr>
        <w:t xml:space="preserve">单批次运费总价 </w:t>
      </w:r>
      <w:r>
        <w:rPr>
          <w:rFonts w:hint="eastAsia" w:eastAsia="宋体"/>
          <w:highlight w:val="none"/>
          <w:u w:val="none"/>
        </w:rPr>
        <w:t>= 货物重量（吨</w:t>
      </w:r>
      <w:r>
        <w:rPr>
          <w:rFonts w:hint="eastAsia" w:eastAsia="宋体"/>
          <w:highlight w:val="none"/>
          <w:u w:val="none"/>
          <w:lang w:eastAsia="zh-CN"/>
        </w:rPr>
        <w:t>）</w:t>
      </w:r>
      <w:r>
        <w:rPr>
          <w:rFonts w:hint="eastAsia"/>
          <w:highlight w:val="none"/>
          <w:u w:val="none"/>
        </w:rPr>
        <w:t xml:space="preserve">× </w:t>
      </w:r>
      <w:r>
        <w:rPr>
          <w:rFonts w:hint="eastAsia" w:eastAsia="宋体"/>
          <w:highlight w:val="none"/>
          <w:u w:val="none"/>
        </w:rPr>
        <w:t>每吨基础费用（</w:t>
      </w:r>
      <w:r>
        <w:rPr>
          <w:rFonts w:hint="eastAsia" w:eastAsia="宋体"/>
          <w:highlight w:val="none"/>
          <w:u w:val="none"/>
          <w:lang w:val="en-US" w:eastAsia="zh-CN"/>
        </w:rPr>
        <w:t>1</w:t>
      </w:r>
      <w:r>
        <w:rPr>
          <w:rFonts w:hint="eastAsia" w:eastAsia="宋体"/>
          <w:highlight w:val="none"/>
          <w:u w:val="none"/>
        </w:rPr>
        <w:t>元/吨</w:t>
      </w:r>
      <w:r>
        <w:rPr>
          <w:rFonts w:hint="eastAsia" w:eastAsia="宋体"/>
          <w:highlight w:val="none"/>
          <w:u w:val="none"/>
          <w:lang w:eastAsia="zh-CN"/>
        </w:rPr>
        <w:t>）</w:t>
      </w:r>
      <w:r>
        <w:rPr>
          <w:rFonts w:hint="eastAsia" w:eastAsia="宋体"/>
          <w:highlight w:val="none"/>
          <w:u w:val="none"/>
          <w:lang w:val="en-US" w:eastAsia="zh-CN"/>
        </w:rPr>
        <w:t>+</w:t>
      </w:r>
      <w:r>
        <w:rPr>
          <w:rFonts w:hint="eastAsia" w:eastAsia="宋体"/>
          <w:highlight w:val="none"/>
          <w:u w:val="none"/>
        </w:rPr>
        <w:t>运</w:t>
      </w:r>
      <w:r>
        <w:rPr>
          <w:rFonts w:hint="eastAsia"/>
          <w:highlight w:val="none"/>
          <w:u w:val="none"/>
        </w:rPr>
        <w:t>输综合单价</w:t>
      </w:r>
      <w:r>
        <w:rPr>
          <w:rFonts w:hint="eastAsia"/>
          <w:highlight w:val="none"/>
          <w:u w:val="none"/>
        </w:rPr>
        <w:t>（</w:t>
      </w:r>
      <w:r>
        <w:rPr>
          <w:rFonts w:hint="eastAsia"/>
          <w:highlight w:val="none"/>
          <w:u w:val="single"/>
          <w:lang w:val="en-US" w:eastAsia="zh-CN"/>
        </w:rPr>
        <w:t xml:space="preserve">    </w:t>
      </w:r>
      <w:r>
        <w:rPr>
          <w:rFonts w:hint="eastAsia"/>
          <w:highlight w:val="none"/>
          <w:u w:val="single"/>
        </w:rPr>
        <w:t>元/公里</w:t>
      </w:r>
      <w:r>
        <w:rPr>
          <w:rFonts w:hint="eastAsia"/>
          <w:highlight w:val="none"/>
          <w:u w:val="none"/>
        </w:rPr>
        <w:t>）</w:t>
      </w:r>
      <w:r>
        <w:rPr>
          <w:rFonts w:hint="eastAsia"/>
          <w:highlight w:val="none"/>
          <w:u w:val="none"/>
        </w:rPr>
        <w:t>× 实际运输</w:t>
      </w:r>
      <w:r>
        <w:rPr>
          <w:rFonts w:hint="eastAsia"/>
          <w:highlight w:val="none"/>
          <w:u w:val="none"/>
          <w:lang w:val="en-US" w:eastAsia="zh-CN"/>
        </w:rPr>
        <w:t>公里</w:t>
      </w:r>
      <w:bookmarkStart w:id="914" w:name="_GoBack"/>
      <w:bookmarkEnd w:id="914"/>
    </w:p>
    <w:p w14:paraId="419B5C16">
      <w:pPr>
        <w:spacing w:line="360" w:lineRule="auto"/>
        <w:ind w:firstLine="480" w:firstLineChars="200"/>
        <w:rPr>
          <w:rFonts w:hint="eastAsia"/>
          <w:highlight w:val="none"/>
          <w:u w:val="none"/>
        </w:rPr>
      </w:pPr>
      <w:r>
        <w:rPr>
          <w:rFonts w:hint="eastAsia" w:ascii="Times New Roman" w:hAnsi="Times New Roman" w:eastAsia="宋体" w:cs="Times New Roman"/>
          <w:sz w:val="24"/>
          <w:szCs w:val="20"/>
          <w:highlight w:val="none"/>
          <w:u w:val="none"/>
          <w:lang w:val="en-US" w:eastAsia="zh-CN"/>
        </w:rPr>
        <w:t>单</w:t>
      </w:r>
      <w:r>
        <w:rPr>
          <w:rFonts w:hint="eastAsia" w:ascii="Times New Roman" w:hAnsi="Times New Roman" w:eastAsia="宋体" w:cs="Times New Roman"/>
          <w:sz w:val="24"/>
          <w:szCs w:val="20"/>
          <w:highlight w:val="none"/>
          <w:u w:val="none"/>
        </w:rPr>
        <w:t>批次</w:t>
      </w:r>
      <w:r>
        <w:rPr>
          <w:rFonts w:hint="eastAsia" w:ascii="Times New Roman" w:hAnsi="Times New Roman" w:eastAsia="宋体" w:cs="Times New Roman"/>
          <w:sz w:val="24"/>
          <w:szCs w:val="20"/>
          <w:highlight w:val="none"/>
          <w:u w:val="none"/>
          <w:lang w:val="en-US" w:eastAsia="zh-CN"/>
        </w:rPr>
        <w:t>最低运费：</w:t>
      </w:r>
      <w:r>
        <w:rPr>
          <w:rFonts w:hint="eastAsia" w:ascii="Times New Roman" w:hAnsi="Times New Roman" w:eastAsia="宋体" w:cs="Times New Roman"/>
          <w:sz w:val="24"/>
          <w:szCs w:val="20"/>
          <w:highlight w:val="none"/>
          <w:u w:val="single"/>
          <w:lang w:val="en-US" w:eastAsia="zh-CN"/>
        </w:rPr>
        <w:t xml:space="preserve">    </w:t>
      </w:r>
      <w:r>
        <w:rPr>
          <w:rFonts w:hint="eastAsia" w:eastAsia="宋体" w:cs="Times New Roman"/>
          <w:sz w:val="24"/>
          <w:szCs w:val="20"/>
          <w:highlight w:val="none"/>
          <w:u w:val="single"/>
          <w:lang w:val="en-US" w:eastAsia="zh-CN"/>
        </w:rPr>
        <w:t xml:space="preserve"> </w:t>
      </w:r>
      <w:r>
        <w:rPr>
          <w:rFonts w:hint="eastAsia" w:ascii="Times New Roman" w:hAnsi="Times New Roman" w:eastAsia="宋体" w:cs="Times New Roman"/>
          <w:sz w:val="24"/>
          <w:szCs w:val="20"/>
          <w:highlight w:val="none"/>
          <w:u w:val="none"/>
          <w:lang w:val="en-US" w:eastAsia="zh-CN"/>
        </w:rPr>
        <w:t>元</w:t>
      </w:r>
    </w:p>
    <w:p w14:paraId="1B78EADA">
      <w:pPr>
        <w:pStyle w:val="19"/>
        <w:widowControl/>
        <w:tabs>
          <w:tab w:val="left" w:pos="480"/>
        </w:tabs>
        <w:ind w:left="0" w:leftChars="0" w:firstLine="480" w:firstLineChars="200"/>
        <w:rPr>
          <w:highlight w:val="none"/>
        </w:rPr>
      </w:pPr>
      <w:r>
        <w:rPr>
          <w:highlight w:val="none"/>
        </w:rPr>
        <w:t>注：①实际结算数量以双方确认的数量为准；比选人实际采购数量不足合同约定数量时不作为违约。</w:t>
      </w:r>
    </w:p>
    <w:bookmarkEnd w:id="873"/>
    <w:p w14:paraId="30D836E6">
      <w:pPr>
        <w:pStyle w:val="19"/>
        <w:widowControl/>
        <w:tabs>
          <w:tab w:val="left" w:pos="480"/>
        </w:tabs>
        <w:ind w:left="0" w:leftChars="0" w:firstLine="480" w:firstLineChars="200"/>
        <w:rPr>
          <w:highlight w:val="none"/>
        </w:rPr>
      </w:pPr>
      <w:r>
        <w:rPr>
          <w:highlight w:val="none"/>
        </w:rPr>
        <w:t>②含税单价包含且不限于的费用为：装车费、运输费、运输损耗、保险费、卸车费、资金占用费、贴息费、管理费、利润等以及按国家有关规定和企业自身管理需求应支付的相关费用。</w:t>
      </w:r>
    </w:p>
    <w:bookmarkEnd w:id="874"/>
    <w:p w14:paraId="0C86E699">
      <w:pPr>
        <w:pStyle w:val="19"/>
        <w:widowControl/>
        <w:numPr>
          <w:ilvl w:val="0"/>
          <w:numId w:val="84"/>
        </w:numPr>
        <w:tabs>
          <w:tab w:val="left" w:pos="780"/>
          <w:tab w:val="clear" w:pos="210"/>
        </w:tabs>
        <w:ind w:left="0" w:leftChars="0" w:firstLine="480" w:firstLineChars="200"/>
        <w:rPr>
          <w:b w:val="0"/>
          <w:highlight w:val="none"/>
        </w:rPr>
      </w:pPr>
      <w:r>
        <w:rPr>
          <w:highlight w:val="none"/>
        </w:rPr>
        <w:t>服务周期:</w:t>
      </w:r>
      <w:r>
        <w:rPr>
          <w:highlight w:val="none"/>
          <w:u w:val="single"/>
        </w:rPr>
        <w:t xml:space="preserve">       </w:t>
      </w:r>
      <w:r>
        <w:rPr>
          <w:highlight w:val="none"/>
        </w:rPr>
        <w:t>，服务地点：</w:t>
      </w:r>
      <w:r>
        <w:rPr>
          <w:highlight w:val="none"/>
          <w:u w:val="single"/>
        </w:rPr>
        <w:t xml:space="preserve">       </w:t>
      </w:r>
      <w:r>
        <w:rPr>
          <w:highlight w:val="none"/>
        </w:rPr>
        <w:t>，质量要求：</w:t>
      </w:r>
      <w:r>
        <w:rPr>
          <w:highlight w:val="none"/>
          <w:u w:val="single"/>
        </w:rPr>
        <w:t xml:space="preserve">       </w:t>
      </w:r>
      <w:r>
        <w:rPr>
          <w:highlight w:val="none"/>
        </w:rPr>
        <w:t>，按比选文件要求完成供货。</w:t>
      </w:r>
    </w:p>
    <w:p w14:paraId="463F74E9">
      <w:pPr>
        <w:pStyle w:val="19"/>
        <w:widowControl/>
        <w:numPr>
          <w:ilvl w:val="0"/>
          <w:numId w:val="84"/>
        </w:numPr>
        <w:tabs>
          <w:tab w:val="left" w:pos="780"/>
          <w:tab w:val="clear" w:pos="210"/>
        </w:tabs>
        <w:ind w:left="0" w:leftChars="0" w:firstLine="480" w:firstLineChars="200"/>
        <w:rPr>
          <w:b w:val="0"/>
          <w:highlight w:val="none"/>
        </w:rPr>
      </w:pPr>
      <w:r>
        <w:rPr>
          <w:highlight w:val="none"/>
        </w:rPr>
        <w:t>我方完全同意自行承担为投标所发生的一切费用。</w:t>
      </w:r>
    </w:p>
    <w:p w14:paraId="48383907">
      <w:pPr>
        <w:pStyle w:val="19"/>
        <w:widowControl/>
        <w:numPr>
          <w:ilvl w:val="0"/>
          <w:numId w:val="84"/>
        </w:numPr>
        <w:tabs>
          <w:tab w:val="left" w:pos="780"/>
          <w:tab w:val="clear" w:pos="210"/>
        </w:tabs>
        <w:ind w:left="0" w:leftChars="0" w:firstLine="480" w:firstLineChars="200"/>
        <w:rPr>
          <w:b w:val="0"/>
          <w:highlight w:val="none"/>
        </w:rPr>
      </w:pPr>
      <w:r>
        <w:rPr>
          <w:highlight w:val="none"/>
        </w:rPr>
        <w:t>我方承诺投标有效期90天，在比选文件规定的投标有效期内不撤销投标文件。</w:t>
      </w:r>
    </w:p>
    <w:p w14:paraId="5728CD27">
      <w:pPr>
        <w:pStyle w:val="19"/>
        <w:widowControl/>
        <w:numPr>
          <w:ilvl w:val="0"/>
          <w:numId w:val="84"/>
        </w:numPr>
        <w:tabs>
          <w:tab w:val="left" w:pos="780"/>
          <w:tab w:val="clear" w:pos="210"/>
        </w:tabs>
        <w:ind w:left="0" w:leftChars="0" w:firstLine="480" w:firstLineChars="200"/>
        <w:rPr>
          <w:rFonts w:hint="eastAsia" w:ascii="宋体" w:hAnsi="宋体" w:eastAsia="宋体" w:cs="宋体"/>
          <w:b w:val="0"/>
          <w:highlight w:val="none"/>
        </w:rPr>
      </w:pPr>
      <w:r>
        <w:rPr>
          <w:highlight w:val="none"/>
        </w:rPr>
        <w:t>如我方中标，我方承诺：</w:t>
      </w:r>
    </w:p>
    <w:p w14:paraId="42F656A3">
      <w:pPr>
        <w:pStyle w:val="19"/>
        <w:widowControl/>
        <w:numPr>
          <w:ilvl w:val="0"/>
          <w:numId w:val="85"/>
        </w:numPr>
        <w:tabs>
          <w:tab w:val="left" w:pos="1080"/>
        </w:tabs>
        <w:topLinePunct w:val="0"/>
        <w:ind w:left="0" w:leftChars="0" w:firstLine="480" w:firstLineChars="200"/>
        <w:rPr>
          <w:rFonts w:hint="eastAsia" w:ascii="宋体" w:hAnsi="宋体" w:eastAsia="宋体" w:cs="宋体"/>
          <w:b w:val="0"/>
          <w:highlight w:val="none"/>
        </w:rPr>
      </w:pPr>
      <w:r>
        <w:rPr>
          <w:highlight w:val="none"/>
        </w:rPr>
        <w:t>在收到中标通知书后，在中标通知书规定的期限内与贵方签订合同；</w:t>
      </w:r>
    </w:p>
    <w:p w14:paraId="3D7C6774">
      <w:pPr>
        <w:pStyle w:val="19"/>
        <w:widowControl/>
        <w:numPr>
          <w:ilvl w:val="0"/>
          <w:numId w:val="85"/>
        </w:numPr>
        <w:tabs>
          <w:tab w:val="left" w:pos="1080"/>
        </w:tabs>
        <w:topLinePunct w:val="0"/>
        <w:ind w:left="0" w:leftChars="0" w:firstLine="480" w:firstLineChars="200"/>
        <w:rPr>
          <w:rFonts w:hint="eastAsia" w:ascii="宋体" w:hAnsi="宋体" w:eastAsia="宋体" w:cs="宋体"/>
          <w:b w:val="0"/>
          <w:highlight w:val="none"/>
        </w:rPr>
      </w:pPr>
      <w:r>
        <w:rPr>
          <w:highlight w:val="none"/>
        </w:rPr>
        <w:t>在签订合同时不向贵方提出附加条件；</w:t>
      </w:r>
    </w:p>
    <w:p w14:paraId="41662BB7">
      <w:pPr>
        <w:pStyle w:val="19"/>
        <w:widowControl/>
        <w:numPr>
          <w:ilvl w:val="0"/>
          <w:numId w:val="85"/>
        </w:numPr>
        <w:tabs>
          <w:tab w:val="left" w:pos="1080"/>
        </w:tabs>
        <w:topLinePunct w:val="0"/>
        <w:ind w:left="0" w:leftChars="0" w:firstLine="480" w:firstLineChars="200"/>
        <w:rPr>
          <w:rFonts w:hint="eastAsia" w:ascii="宋体" w:hAnsi="宋体" w:eastAsia="宋体" w:cs="宋体"/>
          <w:b w:val="0"/>
          <w:highlight w:val="none"/>
        </w:rPr>
      </w:pPr>
      <w:r>
        <w:rPr>
          <w:highlight w:val="none"/>
        </w:rPr>
        <w:t>在合同约定的期限内完成合同规定的全部义务。</w:t>
      </w:r>
    </w:p>
    <w:p w14:paraId="32F15F25">
      <w:pPr>
        <w:pStyle w:val="19"/>
        <w:widowControl/>
        <w:numPr>
          <w:ilvl w:val="0"/>
          <w:numId w:val="84"/>
        </w:numPr>
        <w:tabs>
          <w:tab w:val="left" w:pos="780"/>
          <w:tab w:val="clear" w:pos="210"/>
        </w:tabs>
        <w:ind w:left="0" w:leftChars="0" w:firstLine="480" w:firstLineChars="200"/>
        <w:rPr>
          <w:rFonts w:hint="eastAsia" w:ascii="宋体" w:hAnsi="宋体" w:eastAsia="宋体" w:cs="宋体"/>
          <w:b w:val="0"/>
          <w:highlight w:val="none"/>
        </w:rPr>
      </w:pPr>
      <w:r>
        <w:rPr>
          <w:highlight w:val="none"/>
        </w:rPr>
        <w:t>（其他补充说明）。</w:t>
      </w:r>
    </w:p>
    <w:p w14:paraId="7BED5987">
      <w:pPr>
        <w:spacing w:line="360" w:lineRule="auto"/>
        <w:jc w:val="center"/>
        <w:rPr>
          <w:rFonts w:hint="eastAsia" w:ascii="宋体" w:hAnsi="宋体" w:cs="宋体"/>
          <w:bCs/>
          <w:szCs w:val="21"/>
          <w:highlight w:val="none"/>
        </w:rPr>
      </w:pPr>
    </w:p>
    <w:p w14:paraId="128EFC2C">
      <w:pPr>
        <w:spacing w:line="360" w:lineRule="auto"/>
        <w:jc w:val="center"/>
        <w:rPr>
          <w:rFonts w:hint="eastAsia" w:ascii="宋体" w:hAnsi="宋体" w:cs="宋体"/>
          <w:bCs/>
          <w:szCs w:val="21"/>
          <w:highlight w:val="none"/>
        </w:rPr>
      </w:pPr>
    </w:p>
    <w:p w14:paraId="171BA56B">
      <w:pPr>
        <w:spacing w:after="120" w:afterAutospacing="0" w:line="360" w:lineRule="auto"/>
        <w:jc w:val="right"/>
        <w:rPr>
          <w:rFonts w:hint="eastAsia"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 xml:space="preserve"> 比选申请人：</w:t>
      </w:r>
      <w:r>
        <w:rPr>
          <w:rFonts w:hint="eastAsia" w:ascii="Times New Roman" w:hAnsi="Times New Roman" w:eastAsia="宋体" w:cs="Times New Roman"/>
          <w:bCs/>
          <w:sz w:val="24"/>
          <w:szCs w:val="21"/>
          <w:highlight w:val="none"/>
          <w:u w:val="single"/>
        </w:rPr>
        <w:tab/>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（盖单位章）</w:t>
      </w:r>
    </w:p>
    <w:p w14:paraId="3E209955">
      <w:pPr>
        <w:spacing w:after="120" w:afterAutospacing="0" w:line="360" w:lineRule="auto"/>
        <w:jc w:val="right"/>
        <w:rPr>
          <w:rFonts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法定代表人（或单位负责人）或其委托代理人：</w:t>
      </w:r>
      <w:r>
        <w:rPr>
          <w:rFonts w:hint="eastAsia" w:ascii="Times New Roman" w:hAnsi="Times New Roman" w:eastAsia="宋体" w:cs="Times New Roman"/>
          <w:bCs/>
          <w:sz w:val="24"/>
          <w:szCs w:val="21"/>
          <w:highlight w:val="none"/>
          <w:u w:val="single"/>
        </w:rPr>
        <w:tab/>
      </w: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（签字或盖章）</w:t>
      </w:r>
    </w:p>
    <w:p w14:paraId="1F0EEFF6">
      <w:pPr>
        <w:spacing w:after="120" w:afterAutospacing="0" w:line="360" w:lineRule="auto"/>
        <w:ind w:right="840"/>
        <w:jc w:val="center"/>
        <w:rPr>
          <w:rFonts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 xml:space="preserve"> </w:t>
      </w:r>
      <w:r>
        <w:rPr>
          <w:rFonts w:ascii="Times New Roman" w:hAnsi="Times New Roman" w:eastAsia="宋体" w:cs="Times New Roman"/>
          <w:bCs/>
          <w:sz w:val="24"/>
          <w:szCs w:val="21"/>
          <w:highlight w:val="none"/>
        </w:rPr>
        <w:t xml:space="preserve">    </w:t>
      </w:r>
      <w:r>
        <w:rPr>
          <w:rFonts w:hint="eastAsia" w:ascii="Times New Roman" w:hAnsi="Times New Roman" w:eastAsia="宋体" w:cs="Times New Roman"/>
          <w:bCs/>
          <w:sz w:val="24"/>
          <w:szCs w:val="21"/>
          <w:highlight w:val="none"/>
        </w:rPr>
        <w:t>地址：</w:t>
      </w:r>
      <w:r>
        <w:rPr>
          <w:rFonts w:hint="eastAsia" w:ascii="Times New Roman" w:hAnsi="Times New Roman" w:eastAsia="宋体" w:cs="Times New Roman"/>
          <w:bCs/>
          <w:sz w:val="24"/>
          <w:szCs w:val="21"/>
          <w:highlight w:val="none"/>
          <w:u w:val="single"/>
        </w:rPr>
        <w:t xml:space="preserve">                            </w:t>
      </w:r>
    </w:p>
    <w:p w14:paraId="7A6B667F">
      <w:pPr>
        <w:spacing w:after="120" w:afterAutospacing="0" w:line="360" w:lineRule="auto"/>
        <w:ind w:right="840"/>
        <w:jc w:val="center"/>
        <w:rPr>
          <w:rFonts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 xml:space="preserve"> </w:t>
      </w:r>
      <w:r>
        <w:rPr>
          <w:rFonts w:ascii="Times New Roman" w:hAnsi="Times New Roman" w:eastAsia="宋体" w:cs="Times New Roman"/>
          <w:bCs/>
          <w:sz w:val="24"/>
          <w:szCs w:val="21"/>
          <w:highlight w:val="none"/>
        </w:rPr>
        <w:t xml:space="preserve">    </w:t>
      </w:r>
      <w:r>
        <w:rPr>
          <w:rFonts w:hint="eastAsia" w:ascii="Times New Roman" w:hAnsi="Times New Roman" w:eastAsia="宋体" w:cs="Times New Roman"/>
          <w:bCs/>
          <w:sz w:val="24"/>
          <w:szCs w:val="21"/>
          <w:highlight w:val="none"/>
        </w:rPr>
        <w:t>电话：</w:t>
      </w:r>
      <w:r>
        <w:rPr>
          <w:rFonts w:hint="eastAsia" w:ascii="Times New Roman" w:hAnsi="Times New Roman" w:eastAsia="宋体" w:cs="Times New Roman"/>
          <w:bCs/>
          <w:sz w:val="24"/>
          <w:szCs w:val="21"/>
          <w:highlight w:val="none"/>
          <w:u w:val="single"/>
        </w:rPr>
        <w:t xml:space="preserve">                            </w:t>
      </w:r>
    </w:p>
    <w:p w14:paraId="46CDD6CA">
      <w:pPr>
        <w:spacing w:after="120" w:afterAutospacing="0" w:line="360" w:lineRule="auto"/>
        <w:ind w:firstLine="3967" w:firstLineChars="1653"/>
        <w:rPr>
          <w:rFonts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rPr>
        <w:t>传真：</w:t>
      </w:r>
      <w:r>
        <w:rPr>
          <w:rFonts w:hint="eastAsia" w:ascii="Times New Roman" w:hAnsi="Times New Roman" w:eastAsia="宋体" w:cs="Times New Roman"/>
          <w:bCs/>
          <w:sz w:val="24"/>
          <w:szCs w:val="21"/>
          <w:highlight w:val="none"/>
          <w:u w:val="single"/>
        </w:rPr>
        <w:t xml:space="preserve"> </w:t>
      </w:r>
      <w:r>
        <w:rPr>
          <w:rFonts w:ascii="Times New Roman" w:hAnsi="Times New Roman" w:eastAsia="宋体" w:cs="Times New Roman"/>
          <w:bCs/>
          <w:sz w:val="24"/>
          <w:szCs w:val="21"/>
          <w:highlight w:val="none"/>
          <w:u w:val="single"/>
        </w:rPr>
        <w:t xml:space="preserve">                           </w:t>
      </w:r>
    </w:p>
    <w:p w14:paraId="256620AA">
      <w:pPr>
        <w:spacing w:after="120" w:afterAutospacing="0" w:line="360" w:lineRule="auto"/>
        <w:jc w:val="center"/>
        <w:rPr>
          <w:rFonts w:ascii="Times New Roman" w:hAnsi="Times New Roman" w:eastAsia="宋体" w:cs="Times New Roman"/>
          <w:bCs/>
          <w:sz w:val="24"/>
          <w:szCs w:val="21"/>
          <w:highlight w:val="none"/>
          <w:u w:val="single"/>
        </w:rPr>
      </w:pPr>
      <w:r>
        <w:rPr>
          <w:rFonts w:hint="eastAsia" w:ascii="Times New Roman" w:hAnsi="Times New Roman" w:eastAsia="宋体" w:cs="Times New Roman"/>
          <w:bCs/>
          <w:sz w:val="24"/>
          <w:szCs w:val="21"/>
          <w:highlight w:val="none"/>
        </w:rPr>
        <w:t xml:space="preserve">  邮政编码：</w:t>
      </w:r>
      <w:r>
        <w:rPr>
          <w:rFonts w:hint="eastAsia" w:ascii="Times New Roman" w:hAnsi="Times New Roman" w:eastAsia="宋体" w:cs="Times New Roman"/>
          <w:bCs/>
          <w:sz w:val="24"/>
          <w:szCs w:val="21"/>
          <w:highlight w:val="none"/>
          <w:u w:val="single"/>
        </w:rPr>
        <w:t xml:space="preserve"> </w:t>
      </w:r>
      <w:r>
        <w:rPr>
          <w:rFonts w:ascii="Times New Roman" w:hAnsi="Times New Roman" w:eastAsia="宋体" w:cs="Times New Roman"/>
          <w:bCs/>
          <w:sz w:val="24"/>
          <w:szCs w:val="21"/>
          <w:highlight w:val="none"/>
          <w:u w:val="single"/>
        </w:rPr>
        <w:t xml:space="preserve">                       </w:t>
      </w:r>
    </w:p>
    <w:p w14:paraId="7470C176">
      <w:pPr>
        <w:spacing w:after="120" w:afterAutospacing="0" w:line="360" w:lineRule="auto"/>
        <w:jc w:val="right"/>
        <w:rPr>
          <w:rFonts w:hint="eastAsia" w:ascii="Times New Roman" w:hAnsi="Times New Roman" w:eastAsia="宋体" w:cs="Times New Roman"/>
          <w:bCs/>
          <w:sz w:val="24"/>
          <w:szCs w:val="21"/>
          <w:highlight w:val="none"/>
        </w:rPr>
      </w:pP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年</w:t>
      </w:r>
      <w:r>
        <w:rPr>
          <w:rFonts w:hint="eastAsia" w:ascii="Times New Roman" w:hAnsi="Times New Roman" w:eastAsia="宋体" w:cs="Times New Roman"/>
          <w:bCs/>
          <w:sz w:val="24"/>
          <w:szCs w:val="21"/>
          <w:highlight w:val="none"/>
          <w:u w:val="single"/>
        </w:rPr>
        <w:tab/>
      </w: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月</w:t>
      </w:r>
      <w:r>
        <w:rPr>
          <w:rFonts w:hint="eastAsia" w:ascii="Times New Roman" w:hAnsi="Times New Roman" w:eastAsia="宋体" w:cs="Times New Roman"/>
          <w:bCs/>
          <w:sz w:val="24"/>
          <w:szCs w:val="21"/>
          <w:highlight w:val="none"/>
          <w:u w:val="single"/>
        </w:rPr>
        <w:tab/>
      </w:r>
      <w:r>
        <w:rPr>
          <w:rFonts w:hint="eastAsia" w:ascii="Times New Roman" w:hAnsi="Times New Roman" w:eastAsia="宋体" w:cs="Times New Roman"/>
          <w:bCs/>
          <w:sz w:val="24"/>
          <w:szCs w:val="21"/>
          <w:highlight w:val="none"/>
          <w:u w:val="single"/>
        </w:rPr>
        <w:t xml:space="preserve">  </w:t>
      </w:r>
      <w:r>
        <w:rPr>
          <w:rFonts w:hint="eastAsia" w:ascii="Times New Roman" w:hAnsi="Times New Roman" w:eastAsia="宋体" w:cs="Times New Roman"/>
          <w:bCs/>
          <w:sz w:val="24"/>
          <w:szCs w:val="21"/>
          <w:highlight w:val="none"/>
        </w:rPr>
        <w:t>日</w:t>
      </w:r>
    </w:p>
    <w:p w14:paraId="2C06DE86">
      <w:pPr>
        <w:rPr>
          <w:rFonts w:hint="eastAsia" w:ascii="宋体" w:hAnsi="宋体" w:cs="宋体"/>
          <w:bCs/>
          <w:szCs w:val="21"/>
          <w:highlight w:val="none"/>
        </w:rPr>
      </w:pPr>
      <w:r>
        <w:rPr>
          <w:rFonts w:hint="eastAsia" w:ascii="宋体" w:hAnsi="宋体" w:cs="宋体"/>
          <w:bCs/>
          <w:szCs w:val="21"/>
          <w:highlight w:val="none"/>
        </w:rPr>
        <w:br w:type="page"/>
      </w:r>
    </w:p>
    <w:p w14:paraId="6860A61D">
      <w:pPr>
        <w:pStyle w:val="3"/>
        <w:widowControl/>
        <w:numPr>
          <w:ilvl w:val="0"/>
          <w:numId w:val="83"/>
        </w:numPr>
        <w:tabs>
          <w:tab w:val="left" w:pos="1360"/>
        </w:tabs>
        <w:topLinePunct w:val="0"/>
        <w:ind w:left="0" w:leftChars="0" w:firstLine="480" w:firstLineChars="200"/>
        <w:rPr>
          <w:rFonts w:hint="eastAsia" w:ascii="宋体" w:hAnsi="宋体" w:eastAsia="宋体" w:cs="宋体"/>
          <w:b/>
          <w:highlight w:val="none"/>
        </w:rPr>
      </w:pPr>
      <w:r>
        <w:rPr>
          <w:highlight w:val="none"/>
        </w:rPr>
        <w:t>承诺函</w:t>
      </w:r>
    </w:p>
    <w:p w14:paraId="75304E56">
      <w:pPr>
        <w:pStyle w:val="19"/>
        <w:widowControl/>
        <w:ind w:left="0" w:leftChars="0" w:firstLine="0" w:firstLineChars="0"/>
        <w:rPr>
          <w:highlight w:val="none"/>
        </w:rPr>
      </w:pPr>
      <w:r>
        <w:rPr>
          <w:highlight w:val="none"/>
          <w:u w:val="single"/>
        </w:rPr>
        <w:t>四川瑞华合纵实业有限公司</w:t>
      </w:r>
      <w:r>
        <w:rPr>
          <w:highlight w:val="none"/>
        </w:rPr>
        <w:t>：</w:t>
      </w:r>
    </w:p>
    <w:p w14:paraId="6B871EE1">
      <w:pPr>
        <w:pStyle w:val="19"/>
        <w:widowControl/>
        <w:numPr>
          <w:ilvl w:val="0"/>
          <w:numId w:val="86"/>
        </w:numPr>
        <w:tabs>
          <w:tab w:val="left" w:pos="840"/>
        </w:tabs>
        <w:topLinePunct w:val="0"/>
        <w:ind w:left="0" w:leftChars="0" w:firstLine="480" w:firstLineChars="200"/>
        <w:rPr>
          <w:rFonts w:hint="eastAsia" w:ascii="宋体" w:hAnsi="宋体" w:eastAsia="宋体" w:cs="宋体"/>
          <w:b w:val="0"/>
          <w:highlight w:val="none"/>
        </w:rPr>
      </w:pPr>
      <w:r>
        <w:rPr>
          <w:highlight w:val="none"/>
        </w:rPr>
        <w:t>我方在此声明，所递交的比选申请文件（包括有关资料、澄清）真实可信，不存在虚假（包括隐瞒）。</w:t>
      </w:r>
    </w:p>
    <w:p w14:paraId="2210EDAA">
      <w:pPr>
        <w:pStyle w:val="19"/>
        <w:widowControl/>
        <w:numPr>
          <w:ilvl w:val="0"/>
          <w:numId w:val="86"/>
        </w:numPr>
        <w:tabs>
          <w:tab w:val="left" w:pos="840"/>
        </w:tabs>
        <w:topLinePunct w:val="0"/>
        <w:ind w:left="0" w:leftChars="0" w:firstLine="480" w:firstLineChars="200"/>
        <w:rPr>
          <w:rFonts w:hint="eastAsia" w:ascii="宋体" w:hAnsi="宋体" w:eastAsia="宋体" w:cs="宋体"/>
          <w:b w:val="0"/>
          <w:highlight w:val="none"/>
        </w:rPr>
      </w:pPr>
      <w:r>
        <w:rPr>
          <w:highlight w:val="none"/>
        </w:rPr>
        <w:t>经我方认真核查，本比选申请人不存在第二章“比选申请人须知前附表”第1.4.3 项规定的任何一种情形。</w:t>
      </w:r>
    </w:p>
    <w:p w14:paraId="5C0E7359">
      <w:pPr>
        <w:pStyle w:val="19"/>
        <w:widowControl/>
        <w:numPr>
          <w:ilvl w:val="0"/>
          <w:numId w:val="86"/>
        </w:numPr>
        <w:tabs>
          <w:tab w:val="left" w:pos="840"/>
        </w:tabs>
        <w:topLinePunct w:val="0"/>
        <w:ind w:left="0" w:leftChars="0" w:firstLine="480" w:firstLineChars="200"/>
        <w:rPr>
          <w:rFonts w:hint="eastAsia" w:ascii="宋体" w:hAnsi="宋体" w:eastAsia="宋体" w:cs="宋体"/>
          <w:b w:val="0"/>
          <w:highlight w:val="none"/>
        </w:rPr>
      </w:pPr>
      <w:r>
        <w:rPr>
          <w:highlight w:val="none"/>
        </w:rPr>
        <w:t>我方承诺，如存在以上二种虚假参选行为，我方自愿按第二章“比选申请人须知前附表”10.7和其他有关规定承担责任。</w:t>
      </w:r>
    </w:p>
    <w:p w14:paraId="16AF024E">
      <w:pPr>
        <w:pStyle w:val="19"/>
        <w:widowControl/>
        <w:numPr>
          <w:ilvl w:val="0"/>
          <w:numId w:val="86"/>
        </w:numPr>
        <w:tabs>
          <w:tab w:val="left" w:pos="840"/>
        </w:tabs>
        <w:topLinePunct w:val="0"/>
        <w:ind w:left="0" w:leftChars="0" w:firstLine="480" w:firstLineChars="200"/>
        <w:rPr>
          <w:rFonts w:hint="eastAsia" w:ascii="宋体" w:hAnsi="宋体" w:eastAsia="宋体" w:cs="宋体"/>
          <w:b w:val="0"/>
          <w:highlight w:val="none"/>
        </w:rPr>
      </w:pPr>
      <w:r>
        <w:rPr>
          <w:highlight w:val="none"/>
        </w:rPr>
        <w:t>我方承诺完全满足比选文件资格条件要求：</w:t>
      </w:r>
    </w:p>
    <w:p w14:paraId="152A787B">
      <w:pPr>
        <w:pStyle w:val="19"/>
        <w:widowControl/>
        <w:ind w:left="0" w:leftChars="0" w:firstLine="480" w:firstLineChars="200"/>
        <w:rPr>
          <w:highlight w:val="none"/>
        </w:rPr>
      </w:pPr>
      <w:r>
        <w:rPr>
          <w:highlight w:val="none"/>
        </w:rPr>
        <w:t>具有独立承担民事责任的能力；</w:t>
      </w:r>
    </w:p>
    <w:p w14:paraId="1C5BA1D5">
      <w:pPr>
        <w:pStyle w:val="19"/>
        <w:widowControl/>
        <w:ind w:left="0" w:leftChars="0" w:firstLine="480" w:firstLineChars="200"/>
        <w:rPr>
          <w:highlight w:val="none"/>
        </w:rPr>
      </w:pPr>
      <w:r>
        <w:rPr>
          <w:highlight w:val="none"/>
        </w:rPr>
        <w:t>具有良好的商业信誉和健全的财务会计制度；</w:t>
      </w:r>
    </w:p>
    <w:p w14:paraId="42757CEF">
      <w:pPr>
        <w:pStyle w:val="19"/>
        <w:widowControl/>
        <w:ind w:left="0" w:leftChars="0" w:firstLine="480" w:firstLineChars="200"/>
        <w:rPr>
          <w:highlight w:val="none"/>
        </w:rPr>
      </w:pPr>
      <w:r>
        <w:rPr>
          <w:highlight w:val="none"/>
        </w:rPr>
        <w:t>具有履行合同所必须的设备和专业技术能力；</w:t>
      </w:r>
    </w:p>
    <w:p w14:paraId="539A14BC">
      <w:pPr>
        <w:pStyle w:val="19"/>
        <w:widowControl/>
        <w:ind w:left="0" w:leftChars="0" w:firstLine="480" w:firstLineChars="200"/>
        <w:rPr>
          <w:highlight w:val="none"/>
        </w:rPr>
      </w:pPr>
      <w:r>
        <w:rPr>
          <w:highlight w:val="none"/>
        </w:rPr>
        <w:t>具有依法缴纳税收和社会保障资金的良好记录；</w:t>
      </w:r>
    </w:p>
    <w:p w14:paraId="61BA21E8">
      <w:pPr>
        <w:pStyle w:val="19"/>
        <w:widowControl/>
        <w:ind w:left="0" w:leftChars="0" w:firstLine="480" w:firstLineChars="200"/>
        <w:rPr>
          <w:highlight w:val="none"/>
        </w:rPr>
      </w:pPr>
      <w:r>
        <w:rPr>
          <w:highlight w:val="none"/>
        </w:rPr>
        <w:t>参加本次比选活动前三年内，在经营活动中没有重大违法违规记录。</w:t>
      </w:r>
    </w:p>
    <w:p w14:paraId="277953A2">
      <w:pPr>
        <w:spacing w:line="360" w:lineRule="auto"/>
        <w:jc w:val="right"/>
        <w:rPr>
          <w:rFonts w:ascii="宋体" w:hAnsi="宋体"/>
          <w:szCs w:val="21"/>
          <w:highlight w:val="none"/>
        </w:rPr>
      </w:pPr>
      <w:r>
        <w:rPr>
          <w:rFonts w:hint="eastAsia" w:ascii="宋体" w:hAnsi="宋体"/>
          <w:szCs w:val="21"/>
          <w:highlight w:val="none"/>
        </w:rPr>
        <w:t xml:space="preserve">  </w:t>
      </w:r>
    </w:p>
    <w:p w14:paraId="657AA160">
      <w:pPr>
        <w:spacing w:line="360" w:lineRule="auto"/>
        <w:jc w:val="right"/>
        <w:rPr>
          <w:rFonts w:ascii="宋体" w:hAnsi="宋体"/>
          <w:szCs w:val="21"/>
          <w:highlight w:val="none"/>
        </w:rPr>
      </w:pPr>
    </w:p>
    <w:p w14:paraId="78AD0F7F">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比选申请人：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（盖单位章）</w:t>
      </w:r>
    </w:p>
    <w:p w14:paraId="2E2F8060">
      <w:pPr>
        <w:spacing w:line="360" w:lineRule="auto"/>
        <w:jc w:val="right"/>
        <w:rPr>
          <w:rFonts w:hint="eastAsia" w:ascii="宋体" w:hAnsi="宋体"/>
          <w:szCs w:val="21"/>
          <w:highlight w:val="none"/>
        </w:rPr>
      </w:pPr>
      <w:r>
        <w:rPr>
          <w:rFonts w:hint="eastAsia" w:ascii="宋体" w:hAnsi="宋体"/>
          <w:szCs w:val="21"/>
          <w:highlight w:val="none"/>
        </w:rPr>
        <w:t xml:space="preserve">  </w:t>
      </w:r>
    </w:p>
    <w:p w14:paraId="214F9C36">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法定代表人（或单位负责人）或其委托代理人：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（签字或盖章）</w:t>
      </w:r>
    </w:p>
    <w:p w14:paraId="54E5AC80">
      <w:pPr>
        <w:spacing w:after="120" w:afterAutospacing="0" w:line="360" w:lineRule="auto"/>
        <w:ind w:right="105"/>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月</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004AE034">
      <w:pPr>
        <w:spacing w:line="360" w:lineRule="auto"/>
        <w:ind w:right="105"/>
        <w:jc w:val="right"/>
        <w:rPr>
          <w:rFonts w:hint="eastAsia" w:ascii="宋体" w:hAnsi="宋体"/>
          <w:szCs w:val="21"/>
          <w:highlight w:val="none"/>
        </w:rPr>
      </w:pPr>
    </w:p>
    <w:p w14:paraId="1B54DE78">
      <w:pPr>
        <w:rPr>
          <w:rFonts w:hint="eastAsia" w:ascii="宋体" w:hAnsi="宋体"/>
          <w:highlight w:val="none"/>
        </w:rPr>
      </w:pPr>
      <w:r>
        <w:rPr>
          <w:rFonts w:hint="eastAsia" w:ascii="宋体" w:hAnsi="宋体"/>
          <w:highlight w:val="none"/>
        </w:rPr>
        <w:br w:type="page"/>
      </w:r>
    </w:p>
    <w:p w14:paraId="0A30452D">
      <w:pPr>
        <w:pStyle w:val="3"/>
        <w:widowControl/>
        <w:numPr>
          <w:ilvl w:val="0"/>
          <w:numId w:val="83"/>
        </w:numPr>
        <w:tabs>
          <w:tab w:val="left" w:pos="1360"/>
        </w:tabs>
        <w:topLinePunct w:val="0"/>
        <w:ind w:left="0" w:leftChars="0" w:firstLine="480" w:firstLineChars="200"/>
        <w:rPr>
          <w:rFonts w:hint="eastAsia" w:ascii="宋体" w:hAnsi="宋体" w:eastAsia="宋体" w:cs="宋体"/>
          <w:b/>
          <w:highlight w:val="none"/>
        </w:rPr>
      </w:pPr>
      <w:r>
        <w:rPr>
          <w:highlight w:val="none"/>
        </w:rPr>
        <w:t>比选申请函附录</w:t>
      </w:r>
    </w:p>
    <w:tbl>
      <w:tblPr>
        <w:tblStyle w:val="53"/>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2704"/>
        <w:gridCol w:w="2658"/>
        <w:gridCol w:w="1554"/>
      </w:tblGrid>
      <w:tr w14:paraId="6F1BC3E0">
        <w:trPr>
          <w:trHeight w:val="46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1CDDBDAC">
            <w:pPr>
              <w:spacing w:line="360" w:lineRule="auto"/>
              <w:jc w:val="center"/>
              <w:rPr>
                <w:rFonts w:ascii="宋体" w:hAnsi="宋体"/>
                <w:highlight w:val="none"/>
              </w:rPr>
            </w:pPr>
            <w:r>
              <w:rPr>
                <w:rFonts w:hint="eastAsia" w:ascii="宋体" w:hAnsi="宋体"/>
                <w:highlight w:val="none"/>
              </w:rPr>
              <w:t>序号</w:t>
            </w:r>
          </w:p>
        </w:tc>
        <w:tc>
          <w:tcPr>
            <w:tcW w:w="2704" w:type="dxa"/>
            <w:tcBorders>
              <w:top w:val="single" w:color="auto" w:sz="4" w:space="0"/>
              <w:left w:val="nil"/>
              <w:bottom w:val="single" w:color="auto" w:sz="4" w:space="0"/>
              <w:right w:val="single" w:color="auto" w:sz="4" w:space="0"/>
            </w:tcBorders>
            <w:noWrap w:val="0"/>
            <w:vAlign w:val="top"/>
          </w:tcPr>
          <w:p w14:paraId="5B10E841">
            <w:pPr>
              <w:spacing w:line="360" w:lineRule="auto"/>
              <w:jc w:val="center"/>
              <w:rPr>
                <w:rFonts w:ascii="宋体" w:hAnsi="宋体"/>
                <w:highlight w:val="none"/>
              </w:rPr>
            </w:pPr>
            <w:r>
              <w:rPr>
                <w:rFonts w:hint="eastAsia" w:ascii="宋体" w:hAnsi="宋体"/>
                <w:highlight w:val="none"/>
              </w:rPr>
              <w:t>条款名称</w:t>
            </w:r>
          </w:p>
        </w:tc>
        <w:tc>
          <w:tcPr>
            <w:tcW w:w="2658" w:type="dxa"/>
            <w:tcBorders>
              <w:top w:val="single" w:color="auto" w:sz="4" w:space="0"/>
              <w:left w:val="nil"/>
              <w:bottom w:val="single" w:color="auto" w:sz="4" w:space="0"/>
              <w:right w:val="single" w:color="auto" w:sz="4" w:space="0"/>
            </w:tcBorders>
            <w:noWrap w:val="0"/>
            <w:vAlign w:val="top"/>
          </w:tcPr>
          <w:p w14:paraId="018221DD">
            <w:pPr>
              <w:spacing w:line="360" w:lineRule="auto"/>
              <w:jc w:val="center"/>
              <w:rPr>
                <w:rFonts w:ascii="宋体" w:hAnsi="宋体"/>
                <w:highlight w:val="none"/>
              </w:rPr>
            </w:pPr>
            <w:r>
              <w:rPr>
                <w:rFonts w:hint="eastAsia" w:ascii="宋体" w:hAnsi="宋体"/>
                <w:highlight w:val="none"/>
              </w:rPr>
              <w:t>约定内容</w:t>
            </w:r>
          </w:p>
        </w:tc>
        <w:tc>
          <w:tcPr>
            <w:tcW w:w="1554" w:type="dxa"/>
            <w:tcBorders>
              <w:top w:val="single" w:color="auto" w:sz="4" w:space="0"/>
              <w:left w:val="nil"/>
              <w:bottom w:val="single" w:color="auto" w:sz="4" w:space="0"/>
              <w:right w:val="single" w:color="auto" w:sz="4" w:space="0"/>
            </w:tcBorders>
            <w:noWrap w:val="0"/>
            <w:vAlign w:val="top"/>
          </w:tcPr>
          <w:p w14:paraId="2CEE8F65">
            <w:pPr>
              <w:spacing w:line="360" w:lineRule="auto"/>
              <w:jc w:val="center"/>
              <w:rPr>
                <w:rFonts w:ascii="宋体" w:hAnsi="宋体"/>
                <w:highlight w:val="none"/>
              </w:rPr>
            </w:pPr>
            <w:r>
              <w:rPr>
                <w:rFonts w:hint="eastAsia" w:ascii="宋体" w:hAnsi="宋体"/>
                <w:highlight w:val="none"/>
              </w:rPr>
              <w:t>备注</w:t>
            </w:r>
          </w:p>
        </w:tc>
      </w:tr>
      <w:tr w14:paraId="06BFB644">
        <w:trPr>
          <w:trHeight w:val="46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55B6EFDB">
            <w:pPr>
              <w:spacing w:line="360" w:lineRule="auto"/>
              <w:jc w:val="center"/>
              <w:rPr>
                <w:rFonts w:ascii="宋体" w:hAnsi="宋体"/>
                <w:szCs w:val="21"/>
                <w:highlight w:val="none"/>
              </w:rPr>
            </w:pPr>
            <w:r>
              <w:rPr>
                <w:rFonts w:hint="eastAsia" w:ascii="宋体" w:hAnsi="宋体"/>
                <w:szCs w:val="21"/>
                <w:highlight w:val="none"/>
              </w:rPr>
              <w:t>1</w:t>
            </w:r>
          </w:p>
        </w:tc>
        <w:tc>
          <w:tcPr>
            <w:tcW w:w="2704" w:type="dxa"/>
            <w:tcBorders>
              <w:top w:val="single" w:color="auto" w:sz="4" w:space="0"/>
              <w:left w:val="nil"/>
              <w:bottom w:val="single" w:color="auto" w:sz="4" w:space="0"/>
              <w:right w:val="single" w:color="auto" w:sz="4" w:space="0"/>
            </w:tcBorders>
            <w:noWrap w:val="0"/>
            <w:vAlign w:val="center"/>
          </w:tcPr>
          <w:p w14:paraId="0E53E5CC">
            <w:pPr>
              <w:spacing w:line="360" w:lineRule="auto"/>
              <w:jc w:val="center"/>
              <w:rPr>
                <w:rFonts w:ascii="宋体" w:hAnsi="宋体"/>
                <w:szCs w:val="21"/>
                <w:highlight w:val="none"/>
              </w:rPr>
            </w:pPr>
            <w:r>
              <w:rPr>
                <w:rFonts w:hint="eastAsia" w:ascii="宋体" w:hAnsi="宋体"/>
                <w:szCs w:val="21"/>
                <w:highlight w:val="none"/>
              </w:rPr>
              <w:t>项目负责人</w:t>
            </w:r>
          </w:p>
        </w:tc>
        <w:tc>
          <w:tcPr>
            <w:tcW w:w="2658" w:type="dxa"/>
            <w:tcBorders>
              <w:top w:val="single" w:color="auto" w:sz="4" w:space="0"/>
              <w:left w:val="nil"/>
              <w:bottom w:val="single" w:color="auto" w:sz="4" w:space="0"/>
              <w:right w:val="single" w:color="auto" w:sz="4" w:space="0"/>
            </w:tcBorders>
            <w:noWrap w:val="0"/>
            <w:vAlign w:val="top"/>
          </w:tcPr>
          <w:p w14:paraId="23E37674">
            <w:pPr>
              <w:spacing w:line="360" w:lineRule="auto"/>
              <w:rPr>
                <w:rFonts w:hint="eastAsia" w:ascii="宋体" w:hAnsi="宋体"/>
                <w:szCs w:val="21"/>
                <w:highlight w:val="none"/>
              </w:rPr>
            </w:pPr>
            <w:r>
              <w:rPr>
                <w:rFonts w:hint="eastAsia" w:ascii="宋体" w:hAnsi="宋体"/>
                <w:szCs w:val="21"/>
                <w:highlight w:val="none"/>
              </w:rPr>
              <w:t>姓名：</w:t>
            </w:r>
          </w:p>
        </w:tc>
        <w:tc>
          <w:tcPr>
            <w:tcW w:w="1554" w:type="dxa"/>
            <w:tcBorders>
              <w:top w:val="single" w:color="auto" w:sz="4" w:space="0"/>
              <w:left w:val="nil"/>
              <w:bottom w:val="single" w:color="auto" w:sz="4" w:space="0"/>
              <w:right w:val="single" w:color="auto" w:sz="4" w:space="0"/>
            </w:tcBorders>
            <w:noWrap w:val="0"/>
            <w:vAlign w:val="top"/>
          </w:tcPr>
          <w:p w14:paraId="0D77E602">
            <w:pPr>
              <w:spacing w:line="360" w:lineRule="auto"/>
              <w:jc w:val="center"/>
              <w:rPr>
                <w:rFonts w:ascii="宋体" w:hAnsi="宋体"/>
                <w:highlight w:val="none"/>
              </w:rPr>
            </w:pPr>
          </w:p>
        </w:tc>
      </w:tr>
      <w:tr w14:paraId="76C5C1F5">
        <w:trPr>
          <w:trHeight w:val="469"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top"/>
          </w:tcPr>
          <w:p w14:paraId="42BB0394">
            <w:pPr>
              <w:spacing w:line="360" w:lineRule="auto"/>
              <w:jc w:val="center"/>
              <w:rPr>
                <w:rFonts w:ascii="宋体" w:hAnsi="宋体"/>
                <w:szCs w:val="21"/>
                <w:highlight w:val="none"/>
              </w:rPr>
            </w:pPr>
            <w:r>
              <w:rPr>
                <w:rFonts w:hint="eastAsia" w:ascii="宋体" w:hAnsi="宋体"/>
                <w:szCs w:val="21"/>
                <w:highlight w:val="none"/>
              </w:rPr>
              <w:t>2</w:t>
            </w:r>
          </w:p>
        </w:tc>
        <w:tc>
          <w:tcPr>
            <w:tcW w:w="2704" w:type="dxa"/>
            <w:tcBorders>
              <w:top w:val="single" w:color="auto" w:sz="4" w:space="0"/>
              <w:left w:val="nil"/>
              <w:bottom w:val="single" w:color="auto" w:sz="4" w:space="0"/>
              <w:right w:val="single" w:color="auto" w:sz="4" w:space="0"/>
            </w:tcBorders>
            <w:noWrap w:val="0"/>
            <w:vAlign w:val="center"/>
          </w:tcPr>
          <w:p w14:paraId="70DF41CF">
            <w:pPr>
              <w:spacing w:line="360" w:lineRule="auto"/>
              <w:jc w:val="center"/>
              <w:rPr>
                <w:rFonts w:ascii="宋体" w:hAnsi="宋体"/>
                <w:szCs w:val="21"/>
                <w:highlight w:val="none"/>
              </w:rPr>
            </w:pPr>
            <w:r>
              <w:rPr>
                <w:rFonts w:hint="eastAsia" w:ascii="宋体" w:hAnsi="宋体"/>
                <w:szCs w:val="21"/>
                <w:highlight w:val="none"/>
              </w:rPr>
              <w:t>服务地点</w:t>
            </w:r>
          </w:p>
        </w:tc>
        <w:tc>
          <w:tcPr>
            <w:tcW w:w="2658" w:type="dxa"/>
            <w:tcBorders>
              <w:top w:val="single" w:color="auto" w:sz="4" w:space="0"/>
              <w:left w:val="nil"/>
              <w:bottom w:val="single" w:color="auto" w:sz="4" w:space="0"/>
              <w:right w:val="single" w:color="auto" w:sz="4" w:space="0"/>
            </w:tcBorders>
            <w:noWrap w:val="0"/>
            <w:vAlign w:val="top"/>
          </w:tcPr>
          <w:p w14:paraId="07A74E73">
            <w:pPr>
              <w:spacing w:line="360" w:lineRule="auto"/>
              <w:rPr>
                <w:rFonts w:ascii="宋体" w:hAnsi="宋体"/>
                <w:szCs w:val="21"/>
                <w:highlight w:val="none"/>
              </w:rPr>
            </w:pPr>
            <w:r>
              <w:rPr>
                <w:rFonts w:hint="eastAsia" w:ascii="宋体" w:hAnsi="宋体"/>
                <w:szCs w:val="21"/>
                <w:highlight w:val="none"/>
              </w:rPr>
              <w:tab/>
            </w:r>
          </w:p>
        </w:tc>
        <w:tc>
          <w:tcPr>
            <w:tcW w:w="1554" w:type="dxa"/>
            <w:tcBorders>
              <w:top w:val="single" w:color="auto" w:sz="4" w:space="0"/>
              <w:left w:val="nil"/>
              <w:bottom w:val="single" w:color="auto" w:sz="4" w:space="0"/>
              <w:right w:val="single" w:color="auto" w:sz="4" w:space="0"/>
            </w:tcBorders>
            <w:noWrap w:val="0"/>
            <w:vAlign w:val="top"/>
          </w:tcPr>
          <w:p w14:paraId="620AA1DF">
            <w:pPr>
              <w:spacing w:line="360" w:lineRule="auto"/>
              <w:jc w:val="center"/>
              <w:rPr>
                <w:rFonts w:ascii="宋体" w:hAnsi="宋体"/>
                <w:highlight w:val="none"/>
              </w:rPr>
            </w:pPr>
          </w:p>
        </w:tc>
      </w:tr>
      <w:tr w14:paraId="2F94CDCC">
        <w:trPr>
          <w:trHeight w:val="938"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14:paraId="085BBC60">
            <w:pPr>
              <w:spacing w:line="360" w:lineRule="auto"/>
              <w:jc w:val="center"/>
              <w:rPr>
                <w:rFonts w:hint="eastAsia" w:ascii="宋体" w:hAnsi="宋体"/>
                <w:szCs w:val="21"/>
                <w:highlight w:val="none"/>
              </w:rPr>
            </w:pPr>
            <w:r>
              <w:rPr>
                <w:rFonts w:hint="eastAsia" w:ascii="宋体" w:hAnsi="宋体"/>
                <w:szCs w:val="21"/>
                <w:highlight w:val="none"/>
              </w:rPr>
              <w:t>3</w:t>
            </w:r>
          </w:p>
        </w:tc>
        <w:tc>
          <w:tcPr>
            <w:tcW w:w="2704" w:type="dxa"/>
            <w:tcBorders>
              <w:top w:val="single" w:color="auto" w:sz="4" w:space="0"/>
              <w:left w:val="nil"/>
              <w:bottom w:val="single" w:color="auto" w:sz="4" w:space="0"/>
              <w:right w:val="single" w:color="auto" w:sz="4" w:space="0"/>
            </w:tcBorders>
            <w:noWrap w:val="0"/>
            <w:vAlign w:val="center"/>
          </w:tcPr>
          <w:p w14:paraId="21AC87D3">
            <w:pPr>
              <w:spacing w:line="360" w:lineRule="auto"/>
              <w:jc w:val="center"/>
              <w:rPr>
                <w:rFonts w:hint="eastAsia" w:ascii="宋体" w:hAnsi="宋体"/>
                <w:szCs w:val="21"/>
                <w:highlight w:val="none"/>
              </w:rPr>
            </w:pPr>
            <w:r>
              <w:rPr>
                <w:rFonts w:hint="eastAsia" w:ascii="宋体" w:hAnsi="宋体" w:cs="MingLiU"/>
                <w:szCs w:val="21"/>
                <w:highlight w:val="none"/>
              </w:rPr>
              <w:t>是否接受比选文件中的合同条款</w:t>
            </w:r>
          </w:p>
        </w:tc>
        <w:tc>
          <w:tcPr>
            <w:tcW w:w="2658" w:type="dxa"/>
            <w:tcBorders>
              <w:top w:val="single" w:color="auto" w:sz="4" w:space="0"/>
              <w:left w:val="nil"/>
              <w:bottom w:val="single" w:color="auto" w:sz="4" w:space="0"/>
              <w:right w:val="single" w:color="auto" w:sz="4" w:space="0"/>
            </w:tcBorders>
            <w:noWrap w:val="0"/>
            <w:vAlign w:val="center"/>
          </w:tcPr>
          <w:p w14:paraId="6D7756E8">
            <w:pPr>
              <w:spacing w:line="360" w:lineRule="auto"/>
              <w:jc w:val="center"/>
              <w:rPr>
                <w:rFonts w:ascii="宋体" w:hAnsi="宋体"/>
                <w:szCs w:val="21"/>
                <w:highlight w:val="none"/>
              </w:rPr>
            </w:pPr>
            <w:r>
              <w:rPr>
                <w:rFonts w:hint="eastAsia" w:ascii="宋体" w:hAnsi="宋体"/>
                <w:szCs w:val="21"/>
                <w:highlight w:val="none"/>
              </w:rPr>
              <w:t>是</w:t>
            </w:r>
          </w:p>
        </w:tc>
        <w:tc>
          <w:tcPr>
            <w:tcW w:w="1554" w:type="dxa"/>
            <w:tcBorders>
              <w:top w:val="single" w:color="auto" w:sz="4" w:space="0"/>
              <w:left w:val="nil"/>
              <w:bottom w:val="single" w:color="auto" w:sz="4" w:space="0"/>
              <w:right w:val="single" w:color="auto" w:sz="4" w:space="0"/>
            </w:tcBorders>
            <w:noWrap w:val="0"/>
            <w:vAlign w:val="center"/>
          </w:tcPr>
          <w:p w14:paraId="73EEF488">
            <w:pPr>
              <w:spacing w:line="360" w:lineRule="auto"/>
              <w:jc w:val="center"/>
              <w:rPr>
                <w:rFonts w:ascii="宋体" w:hAnsi="宋体"/>
                <w:highlight w:val="none"/>
              </w:rPr>
            </w:pPr>
          </w:p>
        </w:tc>
      </w:tr>
      <w:tr w14:paraId="5E909343">
        <w:trPr>
          <w:trHeight w:val="938"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14:paraId="04926066">
            <w:pPr>
              <w:spacing w:line="360" w:lineRule="auto"/>
              <w:jc w:val="center"/>
              <w:rPr>
                <w:rFonts w:hint="eastAsia" w:ascii="宋体" w:hAnsi="宋体"/>
                <w:highlight w:val="none"/>
              </w:rPr>
            </w:pPr>
            <w:r>
              <w:rPr>
                <w:rFonts w:hint="eastAsia" w:ascii="宋体" w:hAnsi="宋体"/>
                <w:highlight w:val="none"/>
              </w:rPr>
              <w:t>4</w:t>
            </w:r>
          </w:p>
        </w:tc>
        <w:tc>
          <w:tcPr>
            <w:tcW w:w="2704" w:type="dxa"/>
            <w:tcBorders>
              <w:top w:val="single" w:color="auto" w:sz="4" w:space="0"/>
              <w:left w:val="nil"/>
              <w:bottom w:val="single" w:color="auto" w:sz="4" w:space="0"/>
              <w:right w:val="single" w:color="auto" w:sz="4" w:space="0"/>
            </w:tcBorders>
            <w:noWrap w:val="0"/>
            <w:vAlign w:val="center"/>
          </w:tcPr>
          <w:p w14:paraId="41F9AAFB">
            <w:pPr>
              <w:spacing w:line="360" w:lineRule="auto"/>
              <w:jc w:val="center"/>
              <w:rPr>
                <w:rFonts w:hint="eastAsia" w:ascii="宋体" w:hAnsi="宋体"/>
                <w:highlight w:val="none"/>
              </w:rPr>
            </w:pPr>
            <w:r>
              <w:rPr>
                <w:rFonts w:hint="eastAsia" w:ascii="宋体" w:hAnsi="宋体" w:cs="MingLiU"/>
                <w:szCs w:val="21"/>
                <w:highlight w:val="none"/>
              </w:rPr>
              <w:t>比选有效期</w:t>
            </w:r>
          </w:p>
        </w:tc>
        <w:tc>
          <w:tcPr>
            <w:tcW w:w="2658" w:type="dxa"/>
            <w:tcBorders>
              <w:top w:val="single" w:color="auto" w:sz="4" w:space="0"/>
              <w:left w:val="nil"/>
              <w:bottom w:val="single" w:color="auto" w:sz="4" w:space="0"/>
              <w:right w:val="single" w:color="auto" w:sz="4" w:space="0"/>
            </w:tcBorders>
            <w:noWrap w:val="0"/>
            <w:vAlign w:val="center"/>
          </w:tcPr>
          <w:p w14:paraId="79EE0E83">
            <w:pPr>
              <w:spacing w:line="360" w:lineRule="auto"/>
              <w:jc w:val="center"/>
              <w:rPr>
                <w:rFonts w:ascii="宋体" w:hAnsi="宋体"/>
                <w:szCs w:val="21"/>
                <w:highlight w:val="none"/>
              </w:rPr>
            </w:pPr>
            <w:r>
              <w:rPr>
                <w:rFonts w:hint="eastAsia" w:ascii="宋体" w:hAnsi="宋体"/>
                <w:szCs w:val="21"/>
                <w:highlight w:val="none"/>
              </w:rPr>
              <w:t>天数:</w:t>
            </w:r>
            <w:r>
              <w:rPr>
                <w:rFonts w:ascii="宋体" w:hAnsi="宋体"/>
                <w:szCs w:val="21"/>
                <w:highlight w:val="none"/>
              </w:rPr>
              <w:t xml:space="preserve"> 90</w:t>
            </w:r>
            <w:r>
              <w:rPr>
                <w:rFonts w:hint="eastAsia" w:ascii="宋体" w:hAnsi="宋体"/>
                <w:szCs w:val="21"/>
                <w:highlight w:val="none"/>
              </w:rPr>
              <w:t>日历天（从比选申请截止之日算起）</w:t>
            </w:r>
          </w:p>
        </w:tc>
        <w:tc>
          <w:tcPr>
            <w:tcW w:w="1554" w:type="dxa"/>
            <w:tcBorders>
              <w:top w:val="single" w:color="auto" w:sz="4" w:space="0"/>
              <w:left w:val="nil"/>
              <w:bottom w:val="single" w:color="auto" w:sz="4" w:space="0"/>
              <w:right w:val="single" w:color="auto" w:sz="4" w:space="0"/>
            </w:tcBorders>
            <w:noWrap w:val="0"/>
            <w:vAlign w:val="center"/>
          </w:tcPr>
          <w:p w14:paraId="043430C4">
            <w:pPr>
              <w:spacing w:line="360" w:lineRule="auto"/>
              <w:jc w:val="center"/>
              <w:rPr>
                <w:rFonts w:ascii="宋体" w:hAnsi="宋体"/>
                <w:highlight w:val="none"/>
              </w:rPr>
            </w:pPr>
          </w:p>
        </w:tc>
      </w:tr>
      <w:tr w14:paraId="56C36D96">
        <w:trPr>
          <w:trHeight w:val="938"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14:paraId="115DB5D0">
            <w:pPr>
              <w:spacing w:line="360" w:lineRule="auto"/>
              <w:jc w:val="center"/>
              <w:rPr>
                <w:rFonts w:hint="eastAsia" w:ascii="宋体" w:hAnsi="宋体"/>
                <w:highlight w:val="none"/>
              </w:rPr>
            </w:pPr>
            <w:r>
              <w:rPr>
                <w:rFonts w:hint="eastAsia" w:ascii="宋体" w:hAnsi="宋体"/>
                <w:highlight w:val="none"/>
              </w:rPr>
              <w:t>5</w:t>
            </w:r>
          </w:p>
        </w:tc>
        <w:tc>
          <w:tcPr>
            <w:tcW w:w="2704" w:type="dxa"/>
            <w:tcBorders>
              <w:top w:val="single" w:color="auto" w:sz="4" w:space="0"/>
              <w:left w:val="nil"/>
              <w:bottom w:val="single" w:color="auto" w:sz="4" w:space="0"/>
              <w:right w:val="single" w:color="auto" w:sz="4" w:space="0"/>
            </w:tcBorders>
            <w:noWrap w:val="0"/>
            <w:vAlign w:val="center"/>
          </w:tcPr>
          <w:p w14:paraId="08DC6468">
            <w:pPr>
              <w:spacing w:line="360" w:lineRule="auto"/>
              <w:jc w:val="center"/>
              <w:rPr>
                <w:rFonts w:hint="eastAsia" w:ascii="宋体" w:hAnsi="宋体"/>
                <w:highlight w:val="none"/>
              </w:rPr>
            </w:pPr>
            <w:r>
              <w:rPr>
                <w:rFonts w:hint="eastAsia" w:ascii="宋体" w:hAnsi="宋体" w:cs="MingLiU"/>
                <w:szCs w:val="21"/>
                <w:highlight w:val="none"/>
              </w:rPr>
              <w:t>是否响应比选文件中的比选人要求</w:t>
            </w:r>
          </w:p>
        </w:tc>
        <w:tc>
          <w:tcPr>
            <w:tcW w:w="2658" w:type="dxa"/>
            <w:tcBorders>
              <w:top w:val="single" w:color="auto" w:sz="4" w:space="0"/>
              <w:left w:val="nil"/>
              <w:bottom w:val="single" w:color="auto" w:sz="4" w:space="0"/>
              <w:right w:val="single" w:color="auto" w:sz="4" w:space="0"/>
            </w:tcBorders>
            <w:noWrap w:val="0"/>
            <w:vAlign w:val="center"/>
          </w:tcPr>
          <w:p w14:paraId="28B9DF93">
            <w:pPr>
              <w:spacing w:line="360" w:lineRule="auto"/>
              <w:jc w:val="center"/>
              <w:rPr>
                <w:rFonts w:ascii="宋体" w:hAnsi="宋体"/>
                <w:highlight w:val="none"/>
              </w:rPr>
            </w:pPr>
            <w:r>
              <w:rPr>
                <w:rFonts w:hint="eastAsia" w:ascii="宋体" w:hAnsi="宋体"/>
                <w:szCs w:val="21"/>
                <w:highlight w:val="none"/>
              </w:rPr>
              <w:t>是</w:t>
            </w:r>
          </w:p>
        </w:tc>
        <w:tc>
          <w:tcPr>
            <w:tcW w:w="1554" w:type="dxa"/>
            <w:tcBorders>
              <w:top w:val="single" w:color="auto" w:sz="4" w:space="0"/>
              <w:left w:val="nil"/>
              <w:bottom w:val="single" w:color="auto" w:sz="4" w:space="0"/>
              <w:right w:val="single" w:color="auto" w:sz="4" w:space="0"/>
            </w:tcBorders>
            <w:noWrap w:val="0"/>
            <w:vAlign w:val="center"/>
          </w:tcPr>
          <w:p w14:paraId="4A43242A">
            <w:pPr>
              <w:spacing w:line="360" w:lineRule="auto"/>
              <w:jc w:val="center"/>
              <w:rPr>
                <w:rFonts w:ascii="宋体" w:hAnsi="宋体"/>
                <w:highlight w:val="none"/>
              </w:rPr>
            </w:pPr>
          </w:p>
        </w:tc>
      </w:tr>
      <w:tr w14:paraId="4D577A84">
        <w:trPr>
          <w:trHeight w:val="938"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14:paraId="3D241BC1">
            <w:pPr>
              <w:spacing w:line="360" w:lineRule="auto"/>
              <w:jc w:val="center"/>
              <w:rPr>
                <w:rFonts w:hint="eastAsia" w:ascii="宋体" w:hAnsi="宋体"/>
                <w:highlight w:val="none"/>
              </w:rPr>
            </w:pPr>
            <w:r>
              <w:rPr>
                <w:rFonts w:hint="eastAsia" w:ascii="宋体" w:hAnsi="宋体"/>
                <w:highlight w:val="none"/>
              </w:rPr>
              <w:t>6</w:t>
            </w:r>
          </w:p>
        </w:tc>
        <w:tc>
          <w:tcPr>
            <w:tcW w:w="2704" w:type="dxa"/>
            <w:tcBorders>
              <w:top w:val="single" w:color="auto" w:sz="4" w:space="0"/>
              <w:left w:val="nil"/>
              <w:bottom w:val="single" w:color="auto" w:sz="4" w:space="0"/>
              <w:right w:val="single" w:color="auto" w:sz="4" w:space="0"/>
            </w:tcBorders>
            <w:noWrap w:val="0"/>
            <w:vAlign w:val="center"/>
          </w:tcPr>
          <w:p w14:paraId="6F9C33AB">
            <w:pPr>
              <w:spacing w:line="360" w:lineRule="auto"/>
              <w:jc w:val="center"/>
              <w:rPr>
                <w:rFonts w:hint="eastAsia" w:ascii="宋体" w:hAnsi="宋体" w:cs="MingLiU"/>
                <w:szCs w:val="21"/>
                <w:highlight w:val="none"/>
              </w:rPr>
            </w:pPr>
            <w:r>
              <w:rPr>
                <w:rFonts w:hint="eastAsia" w:ascii="宋体" w:hAnsi="宋体" w:cs="MingLiU"/>
                <w:szCs w:val="21"/>
                <w:highlight w:val="none"/>
              </w:rPr>
              <w:t>是否响应比选文件中的比选范围</w:t>
            </w:r>
          </w:p>
        </w:tc>
        <w:tc>
          <w:tcPr>
            <w:tcW w:w="2658" w:type="dxa"/>
            <w:tcBorders>
              <w:top w:val="single" w:color="auto" w:sz="4" w:space="0"/>
              <w:left w:val="nil"/>
              <w:bottom w:val="single" w:color="auto" w:sz="4" w:space="0"/>
              <w:right w:val="single" w:color="auto" w:sz="4" w:space="0"/>
            </w:tcBorders>
            <w:noWrap w:val="0"/>
            <w:vAlign w:val="center"/>
          </w:tcPr>
          <w:p w14:paraId="170439D9">
            <w:pPr>
              <w:spacing w:line="360" w:lineRule="auto"/>
              <w:jc w:val="center"/>
              <w:rPr>
                <w:rFonts w:ascii="宋体" w:hAnsi="宋体"/>
                <w:highlight w:val="none"/>
              </w:rPr>
            </w:pPr>
            <w:r>
              <w:rPr>
                <w:rFonts w:hint="eastAsia" w:ascii="宋体" w:hAnsi="宋体"/>
                <w:szCs w:val="21"/>
                <w:highlight w:val="none"/>
              </w:rPr>
              <w:t>是</w:t>
            </w:r>
          </w:p>
        </w:tc>
        <w:tc>
          <w:tcPr>
            <w:tcW w:w="1554" w:type="dxa"/>
            <w:tcBorders>
              <w:top w:val="single" w:color="auto" w:sz="4" w:space="0"/>
              <w:left w:val="nil"/>
              <w:bottom w:val="single" w:color="auto" w:sz="4" w:space="0"/>
              <w:right w:val="single" w:color="auto" w:sz="4" w:space="0"/>
            </w:tcBorders>
            <w:noWrap w:val="0"/>
            <w:vAlign w:val="center"/>
          </w:tcPr>
          <w:p w14:paraId="1538DD3B">
            <w:pPr>
              <w:spacing w:line="360" w:lineRule="auto"/>
              <w:jc w:val="center"/>
              <w:rPr>
                <w:rFonts w:ascii="宋体" w:hAnsi="宋体"/>
                <w:highlight w:val="none"/>
              </w:rPr>
            </w:pPr>
          </w:p>
        </w:tc>
      </w:tr>
    </w:tbl>
    <w:p w14:paraId="5C52F424">
      <w:pPr>
        <w:spacing w:line="360" w:lineRule="auto"/>
        <w:rPr>
          <w:rFonts w:hint="eastAsia" w:ascii="宋体" w:hAnsi="宋体"/>
          <w:highlight w:val="none"/>
        </w:rPr>
      </w:pPr>
      <w:r>
        <w:rPr>
          <w:rFonts w:hint="eastAsia" w:ascii="宋体" w:hAnsi="宋体"/>
          <w:highlight w:val="none"/>
        </w:rPr>
        <w:t xml:space="preserve"> </w:t>
      </w:r>
    </w:p>
    <w:p w14:paraId="6E885C61">
      <w:pPr>
        <w:spacing w:line="360" w:lineRule="auto"/>
        <w:rPr>
          <w:rFonts w:hint="eastAsia" w:ascii="宋体" w:hAnsi="宋体"/>
          <w:highlight w:val="none"/>
        </w:rPr>
      </w:pPr>
      <w:r>
        <w:rPr>
          <w:rFonts w:hint="eastAsia" w:ascii="宋体" w:hAnsi="宋体"/>
          <w:highlight w:val="none"/>
        </w:rPr>
        <w:t xml:space="preserve"> </w:t>
      </w:r>
    </w:p>
    <w:p w14:paraId="5BF0197D">
      <w:pPr>
        <w:spacing w:line="360" w:lineRule="auto"/>
        <w:rPr>
          <w:rFonts w:hint="eastAsia" w:ascii="宋体" w:hAnsi="宋体"/>
          <w:highlight w:val="none"/>
        </w:rPr>
      </w:pPr>
      <w:r>
        <w:rPr>
          <w:rFonts w:hint="eastAsia" w:ascii="宋体" w:hAnsi="宋体"/>
          <w:highlight w:val="none"/>
        </w:rPr>
        <w:tab/>
      </w:r>
    </w:p>
    <w:p w14:paraId="4BBD9356">
      <w:pPr>
        <w:spacing w:line="360" w:lineRule="auto"/>
        <w:rPr>
          <w:rFonts w:hint="eastAsia" w:ascii="宋体" w:hAnsi="宋体"/>
          <w:highlight w:val="none"/>
        </w:rPr>
      </w:pPr>
      <w:r>
        <w:rPr>
          <w:rFonts w:hint="eastAsia" w:ascii="宋体" w:hAnsi="宋体"/>
          <w:highlight w:val="none"/>
        </w:rPr>
        <w:t xml:space="preserve"> </w:t>
      </w:r>
    </w:p>
    <w:p w14:paraId="58F263BC">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highlight w:val="none"/>
        </w:rPr>
        <w:t>比选申请人</w:t>
      </w:r>
      <w:r>
        <w:rPr>
          <w:rFonts w:hint="eastAsia" w:ascii="Times New Roman" w:hAnsi="Times New Roman" w:eastAsia="宋体" w:cs="Times New Roman"/>
          <w:sz w:val="24"/>
          <w:szCs w:val="21"/>
          <w:highlight w:val="none"/>
        </w:rPr>
        <w:t>：</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（盖单位章）</w:t>
      </w:r>
      <w:r>
        <w:rPr>
          <w:rFonts w:hint="eastAsia" w:ascii="Times New Roman" w:hAnsi="Times New Roman" w:eastAsia="宋体" w:cs="Times New Roman"/>
          <w:sz w:val="24"/>
          <w:szCs w:val="21"/>
          <w:highlight w:val="none"/>
        </w:rPr>
        <w:tab/>
      </w:r>
    </w:p>
    <w:p w14:paraId="3CDD1D83">
      <w:pPr>
        <w:wordWrap w:val="0"/>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法定代表人（或单位负责人）或其委托代理人：</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（签字或盖章）</w:t>
      </w:r>
      <w:r>
        <w:rPr>
          <w:rFonts w:hint="eastAsia" w:ascii="Times New Roman" w:hAnsi="Times New Roman" w:eastAsia="宋体" w:cs="Times New Roman"/>
          <w:sz w:val="24"/>
          <w:szCs w:val="21"/>
          <w:highlight w:val="none"/>
        </w:rPr>
        <w:tab/>
      </w:r>
    </w:p>
    <w:p w14:paraId="2035D806">
      <w:pPr>
        <w:spacing w:after="120" w:afterAutospacing="0" w:line="360" w:lineRule="auto"/>
        <w:ind w:firstLine="5640" w:firstLineChars="2350"/>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 xml:space="preserve">月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3CE11812">
      <w:pPr>
        <w:spacing w:line="360" w:lineRule="auto"/>
        <w:rPr>
          <w:rFonts w:hint="eastAsia" w:ascii="宋体" w:hAnsi="宋体"/>
          <w:highlight w:val="none"/>
        </w:rPr>
      </w:pPr>
    </w:p>
    <w:p w14:paraId="1DB79692">
      <w:pPr>
        <w:spacing w:line="360" w:lineRule="auto"/>
        <w:rPr>
          <w:rFonts w:ascii="宋体" w:hAnsi="宋体"/>
          <w:highlight w:val="none"/>
        </w:rPr>
      </w:pPr>
      <w:r>
        <w:rPr>
          <w:rFonts w:ascii="宋体" w:hAnsi="宋体"/>
          <w:highlight w:val="none"/>
        </w:rPr>
        <w:br w:type="page"/>
      </w:r>
    </w:p>
    <w:p w14:paraId="02D09C05">
      <w:pPr>
        <w:pStyle w:val="2"/>
        <w:widowControl/>
        <w:numPr>
          <w:ilvl w:val="0"/>
          <w:numId w:val="82"/>
        </w:numPr>
        <w:tabs>
          <w:tab w:val="left" w:pos="1120"/>
        </w:tabs>
        <w:topLinePunct w:val="0"/>
        <w:ind w:left="0" w:leftChars="0" w:firstLine="480" w:firstLineChars="200"/>
        <w:rPr>
          <w:b/>
          <w:highlight w:val="none"/>
        </w:rPr>
      </w:pPr>
      <w:bookmarkStart w:id="875" w:name="_Toc25072914"/>
      <w:bookmarkStart w:id="876" w:name="_Toc493516244"/>
      <w:bookmarkStart w:id="877" w:name="_Toc493516055"/>
      <w:bookmarkStart w:id="878" w:name="_Toc25073283"/>
      <w:bookmarkStart w:id="879" w:name="_Toc493516157"/>
      <w:bookmarkStart w:id="880" w:name="_Toc150512319"/>
      <w:bookmarkStart w:id="881" w:name="_Toc177660971"/>
      <w:bookmarkStart w:id="882" w:name="_Toc534192224"/>
      <w:r>
        <w:rPr>
          <w:highlight w:val="none"/>
        </w:rPr>
        <w:t>法定代表人（或单位负责人）身份证明</w:t>
      </w:r>
      <w:bookmarkEnd w:id="875"/>
      <w:bookmarkEnd w:id="876"/>
      <w:bookmarkEnd w:id="877"/>
      <w:bookmarkEnd w:id="878"/>
      <w:bookmarkEnd w:id="879"/>
      <w:bookmarkEnd w:id="880"/>
      <w:bookmarkEnd w:id="881"/>
      <w:bookmarkEnd w:id="882"/>
    </w:p>
    <w:p w14:paraId="765D6945">
      <w:pPr>
        <w:spacing w:line="360" w:lineRule="auto"/>
        <w:rPr>
          <w:rFonts w:hint="eastAsia" w:ascii="宋体" w:hAnsi="宋体"/>
          <w:highlight w:val="none"/>
        </w:rPr>
      </w:pPr>
      <w:r>
        <w:rPr>
          <w:rFonts w:hint="eastAsia" w:ascii="宋体" w:hAnsi="宋体"/>
          <w:highlight w:val="none"/>
        </w:rPr>
        <w:t xml:space="preserve"> </w:t>
      </w:r>
    </w:p>
    <w:p w14:paraId="6CC929E9">
      <w:pPr>
        <w:pStyle w:val="19"/>
        <w:widowControl/>
        <w:ind w:left="0" w:leftChars="0" w:firstLine="480" w:firstLineChars="200"/>
        <w:rPr>
          <w:highlight w:val="none"/>
          <w:u w:val="single"/>
        </w:rPr>
      </w:pPr>
      <w:r>
        <w:rPr>
          <w:highlight w:val="none"/>
        </w:rPr>
        <w:t>比选申请人名称：</w:t>
      </w:r>
      <w:r>
        <w:rPr>
          <w:highlight w:val="none"/>
          <w:u w:val="single"/>
        </w:rPr>
        <w:tab/>
      </w:r>
      <w:r>
        <w:rPr>
          <w:highlight w:val="none"/>
          <w:u w:val="single"/>
        </w:rPr>
        <w:tab/>
      </w:r>
      <w:r>
        <w:rPr>
          <w:highlight w:val="none"/>
          <w:u w:val="single"/>
        </w:rPr>
        <w:tab/>
      </w:r>
      <w:r>
        <w:rPr>
          <w:highlight w:val="none"/>
          <w:u w:val="single"/>
        </w:rPr>
        <w:tab/>
      </w:r>
      <w:r>
        <w:rPr>
          <w:highlight w:val="none"/>
          <w:u w:val="single"/>
        </w:rPr>
        <w:tab/>
      </w:r>
      <w:r>
        <w:rPr>
          <w:highlight w:val="none"/>
          <w:u w:val="single"/>
        </w:rPr>
        <w:tab/>
      </w:r>
    </w:p>
    <w:p w14:paraId="2746B57A">
      <w:pPr>
        <w:pStyle w:val="19"/>
        <w:widowControl/>
        <w:ind w:left="0" w:leftChars="0" w:firstLine="480" w:firstLineChars="200"/>
        <w:rPr>
          <w:highlight w:val="none"/>
        </w:rPr>
      </w:pPr>
      <w:r>
        <w:rPr>
          <w:highlight w:val="none"/>
        </w:rPr>
        <w:t>法定代表人（或单位负责人）姓名：</w:t>
      </w:r>
      <w:r>
        <w:rPr>
          <w:highlight w:val="none"/>
          <w:u w:val="single"/>
        </w:rPr>
        <w:tab/>
      </w:r>
      <w:r>
        <w:rPr>
          <w:highlight w:val="none"/>
          <w:u w:val="single"/>
        </w:rPr>
        <w:tab/>
      </w:r>
      <w:r>
        <w:rPr>
          <w:highlight w:val="none"/>
          <w:u w:val="single"/>
        </w:rPr>
        <w:tab/>
      </w:r>
      <w:r>
        <w:rPr>
          <w:highlight w:val="none"/>
        </w:rPr>
        <w:tab/>
      </w:r>
      <w:r>
        <w:rPr>
          <w:highlight w:val="none"/>
        </w:rPr>
        <w:t>职务：</w:t>
      </w:r>
      <w:r>
        <w:rPr>
          <w:highlight w:val="none"/>
          <w:u w:val="single"/>
        </w:rPr>
        <w:t xml:space="preserve">     </w:t>
      </w:r>
    </w:p>
    <w:p w14:paraId="23EF5D1B">
      <w:pPr>
        <w:pStyle w:val="19"/>
        <w:widowControl/>
        <w:ind w:left="0" w:leftChars="0" w:firstLine="480" w:firstLineChars="200"/>
        <w:rPr>
          <w:highlight w:val="none"/>
        </w:rPr>
      </w:pPr>
      <w:r>
        <w:rPr>
          <w:highlight w:val="none"/>
        </w:rPr>
        <w:t>系</w:t>
      </w:r>
      <w:r>
        <w:rPr>
          <w:highlight w:val="none"/>
          <w:u w:val="single"/>
        </w:rPr>
        <w:tab/>
      </w:r>
      <w:r>
        <w:rPr>
          <w:highlight w:val="none"/>
          <w:u w:val="single"/>
        </w:rPr>
        <w:tab/>
      </w:r>
      <w:r>
        <w:rPr>
          <w:highlight w:val="none"/>
          <w:u w:val="single"/>
        </w:rPr>
        <w:t xml:space="preserve">     </w:t>
      </w:r>
      <w:r>
        <w:rPr>
          <w:highlight w:val="none"/>
        </w:rPr>
        <w:t>（比选申请人名称）的法定代表人（或单位负责人）。</w:t>
      </w:r>
    </w:p>
    <w:p w14:paraId="6B42BDB0">
      <w:pPr>
        <w:spacing w:line="360" w:lineRule="auto"/>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特此证明。</w:t>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r>
        <w:rPr>
          <w:rFonts w:hint="eastAsia" w:ascii="宋体" w:hAnsi="宋体"/>
          <w:szCs w:val="21"/>
          <w:highlight w:val="none"/>
        </w:rPr>
        <w:tab/>
      </w:r>
    </w:p>
    <w:p w14:paraId="126D660C">
      <w:pPr>
        <w:spacing w:line="360" w:lineRule="auto"/>
        <w:rPr>
          <w:rFonts w:hint="eastAsia" w:ascii="宋体" w:hAnsi="宋体"/>
          <w:szCs w:val="21"/>
          <w:highlight w:val="none"/>
        </w:rPr>
      </w:pPr>
      <w:r>
        <w:rPr>
          <w:rFonts w:hint="eastAsia" w:ascii="宋体" w:hAnsi="宋体"/>
          <w:szCs w:val="21"/>
          <w:highlight w:val="none"/>
        </w:rPr>
        <w:t xml:space="preserve"> </w:t>
      </w:r>
    </w:p>
    <w:p w14:paraId="7296FC71">
      <w:pPr>
        <w:spacing w:line="360" w:lineRule="auto"/>
        <w:rPr>
          <w:rFonts w:hint="eastAsia" w:ascii="宋体" w:hAnsi="宋体"/>
          <w:szCs w:val="21"/>
          <w:highlight w:val="none"/>
        </w:rPr>
      </w:pPr>
      <w:r>
        <w:rPr>
          <w:rFonts w:hint="eastAsia" w:ascii="宋体" w:hAnsi="宋体"/>
          <w:szCs w:val="21"/>
          <w:highlight w:val="none"/>
        </w:rPr>
        <w:t xml:space="preserve"> </w:t>
      </w:r>
    </w:p>
    <w:p w14:paraId="78A3C33E">
      <w:pPr>
        <w:spacing w:line="360" w:lineRule="auto"/>
        <w:rPr>
          <w:rFonts w:hint="eastAsia" w:ascii="宋体" w:hAnsi="宋体"/>
          <w:szCs w:val="21"/>
          <w:highlight w:val="none"/>
        </w:rPr>
      </w:pPr>
      <w:r>
        <w:rPr>
          <w:rFonts w:hint="eastAsia" w:ascii="宋体" w:hAnsi="宋体"/>
          <w:szCs w:val="21"/>
          <w:highlight w:val="none"/>
        </w:rPr>
        <w:t xml:space="preserve"> </w:t>
      </w:r>
    </w:p>
    <w:p w14:paraId="07C24277">
      <w:pPr>
        <w:pStyle w:val="19"/>
        <w:widowControl/>
        <w:ind w:left="0" w:leftChars="0" w:firstLine="480" w:firstLineChars="200"/>
        <w:rPr>
          <w:highlight w:val="none"/>
        </w:rPr>
      </w:pPr>
      <w:r>
        <w:rPr>
          <w:highlight w:val="none"/>
        </w:rPr>
        <w:t>附：法定代表人（或单位负责人）身份证复印件正反面。</w:t>
      </w:r>
    </w:p>
    <w:p w14:paraId="0AF1642A">
      <w:pPr>
        <w:spacing w:line="360" w:lineRule="auto"/>
        <w:rPr>
          <w:rFonts w:hint="eastAsia" w:ascii="宋体" w:hAnsi="宋体"/>
          <w:szCs w:val="21"/>
          <w:highlight w:val="none"/>
        </w:rPr>
      </w:pPr>
      <w:r>
        <w:rPr>
          <w:rFonts w:hint="eastAsia" w:ascii="宋体" w:hAnsi="宋体"/>
          <w:szCs w:val="21"/>
          <w:highlight w:val="none"/>
        </w:rPr>
        <w:t xml:space="preserve"> </w:t>
      </w:r>
    </w:p>
    <w:p w14:paraId="278552D0">
      <w:pPr>
        <w:spacing w:line="360" w:lineRule="auto"/>
        <w:rPr>
          <w:rFonts w:hint="eastAsia" w:ascii="宋体" w:hAnsi="宋体"/>
          <w:szCs w:val="21"/>
          <w:highlight w:val="none"/>
        </w:rPr>
      </w:pPr>
      <w:r>
        <w:rPr>
          <w:rFonts w:hint="eastAsia" w:ascii="宋体" w:hAnsi="宋体"/>
          <w:szCs w:val="21"/>
          <w:highlight w:val="none"/>
        </w:rPr>
        <w:t xml:space="preserve"> </w:t>
      </w:r>
    </w:p>
    <w:p w14:paraId="4F5FE66C">
      <w:pPr>
        <w:spacing w:line="360" w:lineRule="auto"/>
        <w:rPr>
          <w:rFonts w:hint="eastAsia" w:ascii="宋体" w:hAnsi="宋体"/>
          <w:szCs w:val="21"/>
          <w:highlight w:val="none"/>
        </w:rPr>
      </w:pPr>
      <w:r>
        <w:rPr>
          <w:rFonts w:hint="eastAsia" w:ascii="宋体" w:hAnsi="宋体"/>
          <w:szCs w:val="21"/>
          <w:highlight w:val="none"/>
        </w:rPr>
        <w:t xml:space="preserve"> </w:t>
      </w:r>
    </w:p>
    <w:p w14:paraId="542A40D5">
      <w:pPr>
        <w:pStyle w:val="19"/>
        <w:widowControl/>
        <w:tabs>
          <w:tab w:val="left" w:pos="480"/>
        </w:tabs>
        <w:ind w:left="960" w:leftChars="200" w:hanging="480" w:hangingChars="200"/>
        <w:rPr>
          <w:b/>
          <w:highlight w:val="none"/>
        </w:rPr>
      </w:pPr>
      <w:r>
        <w:rPr>
          <w:b/>
          <w:highlight w:val="none"/>
        </w:rPr>
        <w:t>注：1、法定代表人（或单位负责人）亲自递交比选申请文件而不委托代理人参选适用。法定代表人（或单位负责人）不亲自递交比选申请文件而委托代理人递交时，本表仍须填写。</w:t>
      </w:r>
    </w:p>
    <w:p w14:paraId="3FCDEFC2">
      <w:pPr>
        <w:pStyle w:val="19"/>
        <w:widowControl/>
        <w:tabs>
          <w:tab w:val="left" w:pos="960"/>
        </w:tabs>
        <w:ind w:left="960" w:leftChars="400" w:firstLine="0" w:firstLineChars="0"/>
        <w:rPr>
          <w:b/>
          <w:highlight w:val="none"/>
        </w:rPr>
      </w:pPr>
      <w:r>
        <w:rPr>
          <w:b/>
          <w:highlight w:val="none"/>
        </w:rPr>
        <w:t>2、所附法定代表人（或单位负责人）身份证复印件应在有效期内，并加盖比选申请人单位（法定名称）公章。</w:t>
      </w:r>
    </w:p>
    <w:p w14:paraId="14505459">
      <w:pPr>
        <w:spacing w:line="360" w:lineRule="auto"/>
        <w:rPr>
          <w:rFonts w:hint="eastAsia" w:ascii="宋体" w:hAnsi="宋体"/>
          <w:highlight w:val="none"/>
        </w:rPr>
      </w:pPr>
      <w:r>
        <w:rPr>
          <w:rFonts w:hint="eastAsia" w:ascii="宋体" w:hAnsi="宋体"/>
          <w:highlight w:val="none"/>
        </w:rPr>
        <w:t xml:space="preserve"> </w:t>
      </w:r>
    </w:p>
    <w:p w14:paraId="0797E089">
      <w:pPr>
        <w:spacing w:line="360" w:lineRule="auto"/>
        <w:rPr>
          <w:rFonts w:hint="eastAsia" w:ascii="宋体" w:hAnsi="宋体"/>
          <w:highlight w:val="none"/>
        </w:rPr>
      </w:pPr>
      <w:r>
        <w:rPr>
          <w:rFonts w:hint="eastAsia" w:ascii="宋体" w:hAnsi="宋体"/>
          <w:highlight w:val="none"/>
        </w:rPr>
        <w:t xml:space="preserve"> </w:t>
      </w:r>
    </w:p>
    <w:p w14:paraId="3DD1F950">
      <w:pPr>
        <w:spacing w:line="360" w:lineRule="auto"/>
        <w:rPr>
          <w:rFonts w:hint="eastAsia" w:ascii="宋体" w:hAnsi="宋体"/>
          <w:highlight w:val="none"/>
        </w:rPr>
      </w:pPr>
      <w:r>
        <w:rPr>
          <w:rFonts w:hint="eastAsia" w:ascii="宋体" w:hAnsi="宋体"/>
          <w:highlight w:val="none"/>
        </w:rPr>
        <w:t xml:space="preserve"> </w:t>
      </w:r>
    </w:p>
    <w:p w14:paraId="0A0A680A">
      <w:pPr>
        <w:spacing w:after="120" w:afterAutospacing="0" w:line="360" w:lineRule="auto"/>
        <w:jc w:val="right"/>
        <w:rPr>
          <w:rFonts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比选申请人：</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rPr>
        <w:t>（盖单位章）</w:t>
      </w:r>
    </w:p>
    <w:p w14:paraId="084C13BA">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月</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日</w:t>
      </w:r>
    </w:p>
    <w:p w14:paraId="5F25958F">
      <w:pPr>
        <w:spacing w:line="360" w:lineRule="auto"/>
        <w:rPr>
          <w:rFonts w:ascii="宋体" w:hAnsi="宋体"/>
          <w:b/>
          <w:sz w:val="44"/>
          <w:szCs w:val="44"/>
          <w:highlight w:val="none"/>
        </w:rPr>
      </w:pPr>
    </w:p>
    <w:p w14:paraId="3A5F20B7">
      <w:pPr>
        <w:pStyle w:val="2"/>
        <w:widowControl/>
        <w:tabs>
          <w:tab w:val="left" w:pos="0"/>
        </w:tabs>
        <w:ind w:left="0" w:leftChars="0" w:firstLine="0" w:firstLineChars="0"/>
        <w:rPr>
          <w:highlight w:val="none"/>
        </w:rPr>
      </w:pPr>
      <w:r>
        <w:rPr>
          <w:highlight w:val="none"/>
        </w:rPr>
        <w:br w:type="page"/>
      </w:r>
      <w:bookmarkStart w:id="883" w:name="_Toc150512320"/>
      <w:bookmarkStart w:id="884" w:name="_Toc534192225"/>
      <w:bookmarkStart w:id="885" w:name="_Toc493516158"/>
      <w:bookmarkStart w:id="886" w:name="_Toc25073284"/>
      <w:bookmarkStart w:id="887" w:name="_Toc493516056"/>
      <w:bookmarkStart w:id="888" w:name="_Toc493516245"/>
      <w:bookmarkStart w:id="889" w:name="_Toc25072915"/>
      <w:bookmarkStart w:id="890" w:name="_Toc177660972"/>
      <w:r>
        <w:rPr>
          <w:highlight w:val="none"/>
        </w:rPr>
        <w:t>三、授权委托书</w:t>
      </w:r>
      <w:bookmarkEnd w:id="883"/>
      <w:bookmarkEnd w:id="884"/>
      <w:bookmarkEnd w:id="885"/>
      <w:bookmarkEnd w:id="886"/>
      <w:bookmarkEnd w:id="887"/>
      <w:bookmarkEnd w:id="888"/>
      <w:bookmarkEnd w:id="889"/>
      <w:bookmarkEnd w:id="890"/>
    </w:p>
    <w:p w14:paraId="369009EC">
      <w:pPr>
        <w:spacing w:line="360" w:lineRule="auto"/>
        <w:rPr>
          <w:rFonts w:hint="eastAsia" w:ascii="宋体" w:hAnsi="宋体"/>
          <w:highlight w:val="none"/>
        </w:rPr>
      </w:pPr>
      <w:r>
        <w:rPr>
          <w:rFonts w:hint="eastAsia" w:ascii="宋体" w:hAnsi="宋体"/>
          <w:highlight w:val="none"/>
        </w:rPr>
        <w:t xml:space="preserve"> </w:t>
      </w:r>
    </w:p>
    <w:p w14:paraId="38E0A689">
      <w:pPr>
        <w:pStyle w:val="19"/>
        <w:widowControl/>
        <w:ind w:left="0" w:leftChars="0" w:firstLine="480" w:firstLineChars="200"/>
        <w:rPr>
          <w:highlight w:val="none"/>
        </w:rPr>
      </w:pPr>
      <w:r>
        <w:rPr>
          <w:highlight w:val="none"/>
        </w:rPr>
        <w:t>本人</w:t>
      </w:r>
      <w:r>
        <w:rPr>
          <w:highlight w:val="none"/>
          <w:u w:val="single"/>
        </w:rPr>
        <w:t xml:space="preserve">            </w:t>
      </w:r>
      <w:r>
        <w:rPr>
          <w:highlight w:val="none"/>
        </w:rPr>
        <w:t>（姓名）系</w:t>
      </w:r>
      <w:r>
        <w:rPr>
          <w:highlight w:val="none"/>
          <w:u w:val="single"/>
        </w:rPr>
        <w:t xml:space="preserve">                        </w:t>
      </w:r>
      <w:r>
        <w:rPr>
          <w:highlight w:val="none"/>
        </w:rPr>
        <w:t>（比选申请人名称）的法定代表人（或单位负责人），现委托本单位人员</w:t>
      </w:r>
      <w:r>
        <w:rPr>
          <w:highlight w:val="none"/>
          <w:u w:val="single"/>
        </w:rPr>
        <w:t xml:space="preserve">            </w:t>
      </w:r>
      <w:r>
        <w:rPr>
          <w:highlight w:val="none"/>
        </w:rPr>
        <w:t>（姓名）为本单位代理人。代理人根据授权，以我方名义参加</w:t>
      </w:r>
      <w:r>
        <w:rPr>
          <w:rFonts w:hint="eastAsia"/>
          <w:highlight w:val="none"/>
          <w:u w:val="single"/>
          <w:lang w:eastAsia="zh-CN"/>
        </w:rPr>
        <w:t>四川瑞华合纵实业有限公司成品铟物流运输服务采购项目（第二次）</w:t>
      </w:r>
      <w:r>
        <w:rPr>
          <w:highlight w:val="none"/>
        </w:rPr>
        <w:t>比选，并签署、澄清、说明、补正、递交、撤回、修改</w:t>
      </w:r>
      <w:r>
        <w:rPr>
          <w:rFonts w:hint="eastAsia"/>
          <w:highlight w:val="none"/>
          <w:u w:val="single"/>
          <w:lang w:eastAsia="zh-CN"/>
        </w:rPr>
        <w:t>四川瑞华合纵实业有限公司成品铟物流运输服务采购项目（第二次）</w:t>
      </w:r>
      <w:r>
        <w:rPr>
          <w:highlight w:val="none"/>
        </w:rPr>
        <w:t>（项目名称）比选申请文件、签订合同和处理有关事宜（向有关行政监督部门投诉另行授权），代理人在参选报价及合同签订过程中所签署一切文件和处理与之相关的一切事务，本人及本单位均予以承认，并全部承担其产生的所有法律后果。</w:t>
      </w:r>
    </w:p>
    <w:p w14:paraId="0AD1B994">
      <w:pPr>
        <w:pStyle w:val="19"/>
        <w:widowControl/>
        <w:ind w:left="0" w:leftChars="0" w:firstLine="480" w:firstLineChars="200"/>
        <w:rPr>
          <w:highlight w:val="none"/>
          <w:u w:val="single"/>
        </w:rPr>
      </w:pPr>
      <w:r>
        <w:rPr>
          <w:highlight w:val="none"/>
        </w:rPr>
        <w:t>委托期限：自本授权委托书签署之日起至第二章“比选申请人须知”前附表3.3.1规定的“比选有效期”结束为止。</w:t>
      </w:r>
    </w:p>
    <w:p w14:paraId="71CC06B6">
      <w:pPr>
        <w:pStyle w:val="19"/>
        <w:widowControl/>
        <w:ind w:left="0" w:leftChars="0" w:firstLine="480" w:firstLineChars="200"/>
        <w:rPr>
          <w:highlight w:val="none"/>
        </w:rPr>
      </w:pPr>
      <w:r>
        <w:rPr>
          <w:highlight w:val="none"/>
        </w:rPr>
        <w:t>代理人无转委托权。</w:t>
      </w:r>
    </w:p>
    <w:p w14:paraId="516656C6">
      <w:pPr>
        <w:pStyle w:val="19"/>
        <w:widowControl/>
        <w:ind w:left="0" w:leftChars="0" w:firstLine="480" w:firstLineChars="200"/>
        <w:rPr>
          <w:highlight w:val="none"/>
        </w:rPr>
      </w:pPr>
      <w:r>
        <w:rPr>
          <w:highlight w:val="none"/>
        </w:rPr>
        <w:t>附：（1）委托代理人身份证复印件正反面</w:t>
      </w:r>
    </w:p>
    <w:p w14:paraId="1E4966C0">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比选申请人：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（盖单位章）</w:t>
      </w:r>
    </w:p>
    <w:p w14:paraId="3B624E6C">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（签字或盖章）</w:t>
      </w:r>
    </w:p>
    <w:p w14:paraId="4B20CE5C">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委托代理人：</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（签字）</w:t>
      </w:r>
    </w:p>
    <w:p w14:paraId="3CCD4041">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联系电话：</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（固定电话）</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（移动电话）</w:t>
      </w:r>
    </w:p>
    <w:p w14:paraId="40CE6EE5">
      <w:pPr>
        <w:spacing w:after="120" w:afterAutospacing="0" w:line="360" w:lineRule="auto"/>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月</w:t>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592F3984">
      <w:pPr>
        <w:pStyle w:val="19"/>
        <w:widowControl/>
        <w:tabs>
          <w:tab w:val="left" w:pos="480"/>
        </w:tabs>
        <w:ind w:left="960" w:leftChars="200" w:hanging="480" w:hangingChars="200"/>
        <w:rPr>
          <w:highlight w:val="none"/>
        </w:rPr>
      </w:pPr>
      <w:r>
        <w:rPr>
          <w:b/>
          <w:highlight w:val="none"/>
        </w:rPr>
        <w:t>注：1、法定代表人（或单位负责人）不亲自递交比选申请文件而委托代理人递交适用。如比选申请人法定代表人（或单位负责人）亲自递交比选申请文件，可删除“三、授权委托书”，以下章节的序号依次递补。如“四、基本情况表”变为“三、基本情况表”，其他的依次类推。</w:t>
      </w:r>
    </w:p>
    <w:p w14:paraId="2A1DB178">
      <w:pPr>
        <w:pStyle w:val="19"/>
        <w:widowControl/>
        <w:tabs>
          <w:tab w:val="left" w:pos="960"/>
        </w:tabs>
        <w:ind w:left="960" w:leftChars="400" w:firstLine="0" w:firstLineChars="0"/>
        <w:rPr>
          <w:b/>
          <w:highlight w:val="none"/>
        </w:rPr>
      </w:pPr>
      <w:r>
        <w:rPr>
          <w:b/>
          <w:highlight w:val="none"/>
        </w:rPr>
        <w:t>2、所附委托代理人身份证复印件应在有效期内，并加盖比选申请人单位（法定名称）公章。</w:t>
      </w:r>
    </w:p>
    <w:p w14:paraId="67329476">
      <w:pPr>
        <w:rPr>
          <w:highlight w:val="none"/>
        </w:rPr>
      </w:pPr>
      <w:bookmarkStart w:id="891" w:name="_Toc493516249"/>
      <w:bookmarkStart w:id="892" w:name="_Toc493516060"/>
      <w:bookmarkStart w:id="893" w:name="_Toc534192226"/>
      <w:bookmarkStart w:id="894" w:name="_Toc493516162"/>
      <w:bookmarkStart w:id="895" w:name="_Toc25073285"/>
      <w:bookmarkStart w:id="896" w:name="_Toc25072916"/>
      <w:bookmarkStart w:id="897" w:name="_Toc177660973"/>
      <w:bookmarkStart w:id="898" w:name="_Toc150512321"/>
      <w:r>
        <w:rPr>
          <w:highlight w:val="none"/>
        </w:rPr>
        <w:br w:type="page"/>
      </w:r>
    </w:p>
    <w:p w14:paraId="1E8E2985">
      <w:pPr>
        <w:pStyle w:val="2"/>
        <w:widowControl/>
        <w:tabs>
          <w:tab w:val="left" w:pos="0"/>
        </w:tabs>
        <w:ind w:left="0" w:leftChars="0" w:firstLine="0" w:firstLineChars="0"/>
        <w:rPr>
          <w:highlight w:val="none"/>
        </w:rPr>
      </w:pPr>
      <w:r>
        <w:rPr>
          <w:highlight w:val="none"/>
        </w:rPr>
        <w:t>四、</w:t>
      </w:r>
      <w:bookmarkEnd w:id="891"/>
      <w:bookmarkEnd w:id="892"/>
      <w:bookmarkEnd w:id="893"/>
      <w:bookmarkEnd w:id="894"/>
      <w:bookmarkEnd w:id="895"/>
      <w:bookmarkEnd w:id="896"/>
      <w:r>
        <w:rPr>
          <w:highlight w:val="none"/>
        </w:rPr>
        <w:t>基本情况表</w:t>
      </w:r>
      <w:bookmarkEnd w:id="897"/>
      <w:bookmarkEnd w:id="898"/>
    </w:p>
    <w:tbl>
      <w:tblPr>
        <w:tblStyle w:val="53"/>
        <w:tblW w:w="878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977"/>
        <w:gridCol w:w="1276"/>
        <w:gridCol w:w="1701"/>
        <w:gridCol w:w="1275"/>
        <w:gridCol w:w="1557"/>
      </w:tblGrid>
      <w:tr w14:paraId="5A7F0A41">
        <w:trPr>
          <w:cantSplit/>
          <w:trHeight w:val="462" w:hRule="atLeast"/>
          <w:jc w:val="center"/>
        </w:trPr>
        <w:tc>
          <w:tcPr>
            <w:tcW w:w="2977" w:type="dxa"/>
            <w:tcBorders>
              <w:top w:val="single" w:color="auto" w:sz="18" w:space="0"/>
              <w:left w:val="single" w:color="auto" w:sz="18" w:space="0"/>
              <w:bottom w:val="single" w:color="auto" w:sz="6" w:space="0"/>
              <w:right w:val="single" w:color="auto" w:sz="6" w:space="0"/>
            </w:tcBorders>
            <w:noWrap w:val="0"/>
            <w:vAlign w:val="center"/>
          </w:tcPr>
          <w:p w14:paraId="4A403CFF">
            <w:pPr>
              <w:spacing w:line="360" w:lineRule="auto"/>
              <w:rPr>
                <w:rFonts w:ascii="宋体" w:hAnsi="宋体"/>
                <w:highlight w:val="none"/>
              </w:rPr>
            </w:pPr>
            <w:r>
              <w:rPr>
                <w:rFonts w:hint="eastAsia" w:ascii="宋体" w:hAnsi="宋体"/>
                <w:highlight w:val="none"/>
              </w:rPr>
              <w:t>比选申请人名称</w:t>
            </w:r>
          </w:p>
        </w:tc>
        <w:tc>
          <w:tcPr>
            <w:tcW w:w="5809" w:type="dxa"/>
            <w:gridSpan w:val="4"/>
            <w:tcBorders>
              <w:top w:val="single" w:color="auto" w:sz="18" w:space="0"/>
              <w:left w:val="single" w:color="auto" w:sz="6" w:space="0"/>
              <w:bottom w:val="single" w:color="auto" w:sz="6" w:space="0"/>
              <w:right w:val="single" w:color="auto" w:sz="18" w:space="0"/>
            </w:tcBorders>
            <w:noWrap w:val="0"/>
            <w:vAlign w:val="center"/>
          </w:tcPr>
          <w:p w14:paraId="2254EAC8">
            <w:pPr>
              <w:spacing w:line="360" w:lineRule="auto"/>
              <w:rPr>
                <w:rFonts w:ascii="宋体" w:hAnsi="宋体"/>
                <w:highlight w:val="none"/>
              </w:rPr>
            </w:pPr>
          </w:p>
        </w:tc>
      </w:tr>
      <w:tr w14:paraId="275EE287">
        <w:trPr>
          <w:cantSplit/>
          <w:trHeight w:val="46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231AD1AE">
            <w:pPr>
              <w:spacing w:line="360" w:lineRule="auto"/>
              <w:rPr>
                <w:rFonts w:ascii="宋体" w:hAnsi="宋体"/>
                <w:highlight w:val="none"/>
              </w:rPr>
            </w:pPr>
            <w:r>
              <w:rPr>
                <w:rFonts w:hint="eastAsia" w:ascii="宋体" w:hAnsi="宋体"/>
                <w:highlight w:val="none"/>
              </w:rPr>
              <w:t>注册地址</w:t>
            </w:r>
          </w:p>
        </w:tc>
        <w:tc>
          <w:tcPr>
            <w:tcW w:w="2977" w:type="dxa"/>
            <w:gridSpan w:val="2"/>
            <w:tcBorders>
              <w:top w:val="single" w:color="auto" w:sz="6" w:space="0"/>
              <w:left w:val="single" w:color="auto" w:sz="6" w:space="0"/>
              <w:bottom w:val="single" w:color="auto" w:sz="6" w:space="0"/>
              <w:right w:val="single" w:color="auto" w:sz="6" w:space="0"/>
            </w:tcBorders>
            <w:noWrap w:val="0"/>
            <w:vAlign w:val="center"/>
          </w:tcPr>
          <w:p w14:paraId="6CE9D58B">
            <w:pPr>
              <w:spacing w:line="360" w:lineRule="auto"/>
              <w:rPr>
                <w:rFonts w:ascii="宋体" w:hAnsi="宋体"/>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31256592">
            <w:pPr>
              <w:spacing w:line="360" w:lineRule="auto"/>
              <w:rPr>
                <w:rFonts w:ascii="宋体" w:hAnsi="宋体"/>
                <w:highlight w:val="none"/>
              </w:rPr>
            </w:pPr>
            <w:r>
              <w:rPr>
                <w:rFonts w:hint="eastAsia" w:ascii="宋体" w:hAnsi="宋体"/>
                <w:highlight w:val="none"/>
              </w:rPr>
              <w:t>邮政编码</w:t>
            </w:r>
          </w:p>
        </w:tc>
        <w:tc>
          <w:tcPr>
            <w:tcW w:w="1557" w:type="dxa"/>
            <w:tcBorders>
              <w:top w:val="single" w:color="auto" w:sz="6" w:space="0"/>
              <w:left w:val="single" w:color="auto" w:sz="6" w:space="0"/>
              <w:bottom w:val="single" w:color="auto" w:sz="6" w:space="0"/>
              <w:right w:val="single" w:color="auto" w:sz="18" w:space="0"/>
            </w:tcBorders>
            <w:noWrap w:val="0"/>
            <w:vAlign w:val="center"/>
          </w:tcPr>
          <w:p w14:paraId="2B693A1F">
            <w:pPr>
              <w:spacing w:line="360" w:lineRule="auto"/>
              <w:rPr>
                <w:rFonts w:ascii="宋体" w:hAnsi="宋体"/>
                <w:highlight w:val="none"/>
              </w:rPr>
            </w:pPr>
          </w:p>
        </w:tc>
      </w:tr>
      <w:tr w14:paraId="55D60C34">
        <w:trPr>
          <w:cantSplit/>
          <w:trHeight w:val="442" w:hRule="atLeast"/>
          <w:jc w:val="center"/>
        </w:trPr>
        <w:tc>
          <w:tcPr>
            <w:tcW w:w="2977" w:type="dxa"/>
            <w:vMerge w:val="restart"/>
            <w:tcBorders>
              <w:top w:val="single" w:color="auto" w:sz="6" w:space="0"/>
              <w:left w:val="single" w:color="auto" w:sz="18" w:space="0"/>
              <w:bottom w:val="single" w:color="auto" w:sz="6" w:space="0"/>
              <w:right w:val="single" w:color="auto" w:sz="6" w:space="0"/>
            </w:tcBorders>
            <w:noWrap w:val="0"/>
            <w:vAlign w:val="center"/>
          </w:tcPr>
          <w:p w14:paraId="7FC37B80">
            <w:pPr>
              <w:spacing w:line="360" w:lineRule="auto"/>
              <w:rPr>
                <w:rFonts w:ascii="宋体" w:hAnsi="宋体"/>
                <w:highlight w:val="none"/>
              </w:rPr>
            </w:pPr>
            <w:r>
              <w:rPr>
                <w:rFonts w:hint="eastAsia" w:ascii="宋体" w:hAnsi="宋体"/>
                <w:highlight w:val="none"/>
              </w:rPr>
              <w:t>联系方式</w:t>
            </w:r>
          </w:p>
        </w:tc>
        <w:tc>
          <w:tcPr>
            <w:tcW w:w="1276" w:type="dxa"/>
            <w:tcBorders>
              <w:top w:val="single" w:color="auto" w:sz="6" w:space="0"/>
              <w:left w:val="single" w:color="auto" w:sz="6" w:space="0"/>
              <w:bottom w:val="single" w:color="auto" w:sz="6" w:space="0"/>
              <w:right w:val="single" w:color="auto" w:sz="6" w:space="0"/>
            </w:tcBorders>
            <w:noWrap w:val="0"/>
            <w:vAlign w:val="center"/>
          </w:tcPr>
          <w:p w14:paraId="7A032D74">
            <w:pPr>
              <w:spacing w:line="360" w:lineRule="auto"/>
              <w:rPr>
                <w:rFonts w:ascii="宋体" w:hAnsi="宋体"/>
                <w:highlight w:val="none"/>
              </w:rPr>
            </w:pPr>
            <w:r>
              <w:rPr>
                <w:rFonts w:hint="eastAsia" w:ascii="宋体" w:hAnsi="宋体"/>
                <w:highlight w:val="none"/>
              </w:rPr>
              <w:t>联系人</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161A3EF3">
            <w:pPr>
              <w:spacing w:line="360" w:lineRule="auto"/>
              <w:rPr>
                <w:rFonts w:ascii="宋体" w:hAnsi="宋体"/>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504EBE3D">
            <w:pPr>
              <w:spacing w:line="360" w:lineRule="auto"/>
              <w:rPr>
                <w:rFonts w:ascii="宋体" w:hAnsi="宋体"/>
                <w:highlight w:val="none"/>
              </w:rPr>
            </w:pPr>
            <w:r>
              <w:rPr>
                <w:rFonts w:hint="eastAsia" w:ascii="宋体" w:hAnsi="宋体"/>
                <w:highlight w:val="none"/>
              </w:rPr>
              <w:t>电话</w:t>
            </w:r>
          </w:p>
        </w:tc>
        <w:tc>
          <w:tcPr>
            <w:tcW w:w="1557" w:type="dxa"/>
            <w:tcBorders>
              <w:top w:val="single" w:color="auto" w:sz="6" w:space="0"/>
              <w:left w:val="single" w:color="auto" w:sz="6" w:space="0"/>
              <w:bottom w:val="single" w:color="auto" w:sz="6" w:space="0"/>
              <w:right w:val="single" w:color="auto" w:sz="18" w:space="0"/>
            </w:tcBorders>
            <w:noWrap w:val="0"/>
            <w:vAlign w:val="center"/>
          </w:tcPr>
          <w:p w14:paraId="58785E93">
            <w:pPr>
              <w:spacing w:line="360" w:lineRule="auto"/>
              <w:rPr>
                <w:rFonts w:ascii="宋体" w:hAnsi="宋体"/>
                <w:highlight w:val="none"/>
              </w:rPr>
            </w:pPr>
          </w:p>
        </w:tc>
      </w:tr>
      <w:tr w14:paraId="7EBCFE71">
        <w:trPr>
          <w:cantSplit/>
          <w:trHeight w:val="148" w:hRule="atLeast"/>
          <w:jc w:val="center"/>
        </w:trPr>
        <w:tc>
          <w:tcPr>
            <w:tcW w:w="2977" w:type="dxa"/>
            <w:vMerge w:val="continue"/>
            <w:tcBorders>
              <w:top w:val="single" w:color="auto" w:sz="6" w:space="0"/>
              <w:left w:val="single" w:color="auto" w:sz="18" w:space="0"/>
              <w:bottom w:val="single" w:color="auto" w:sz="6" w:space="0"/>
              <w:right w:val="single" w:color="auto" w:sz="6" w:space="0"/>
            </w:tcBorders>
            <w:noWrap w:val="0"/>
            <w:vAlign w:val="center"/>
          </w:tcPr>
          <w:p w14:paraId="79E8E6DD">
            <w:pPr>
              <w:spacing w:line="360" w:lineRule="auto"/>
              <w:rPr>
                <w:rFonts w:ascii="宋体" w:hAnsi="宋体"/>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B9221CB">
            <w:pPr>
              <w:spacing w:line="360" w:lineRule="auto"/>
              <w:rPr>
                <w:rFonts w:ascii="宋体" w:hAnsi="宋体"/>
                <w:highlight w:val="none"/>
              </w:rPr>
            </w:pPr>
            <w:r>
              <w:rPr>
                <w:rFonts w:hint="eastAsia" w:ascii="宋体" w:hAnsi="宋体"/>
                <w:highlight w:val="none"/>
              </w:rPr>
              <w:t>传真</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348FC1F2">
            <w:pPr>
              <w:spacing w:line="360" w:lineRule="auto"/>
              <w:rPr>
                <w:rFonts w:ascii="宋体" w:hAnsi="宋体"/>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61024CF7">
            <w:pPr>
              <w:spacing w:line="360" w:lineRule="auto"/>
              <w:rPr>
                <w:rFonts w:ascii="宋体" w:hAnsi="宋体"/>
                <w:highlight w:val="none"/>
              </w:rPr>
            </w:pPr>
            <w:r>
              <w:rPr>
                <w:rFonts w:hint="eastAsia" w:ascii="宋体" w:hAnsi="宋体"/>
                <w:highlight w:val="none"/>
              </w:rPr>
              <w:t>网址</w:t>
            </w:r>
          </w:p>
        </w:tc>
        <w:tc>
          <w:tcPr>
            <w:tcW w:w="1557" w:type="dxa"/>
            <w:tcBorders>
              <w:top w:val="single" w:color="auto" w:sz="6" w:space="0"/>
              <w:left w:val="single" w:color="auto" w:sz="6" w:space="0"/>
              <w:bottom w:val="single" w:color="auto" w:sz="6" w:space="0"/>
              <w:right w:val="single" w:color="auto" w:sz="18" w:space="0"/>
            </w:tcBorders>
            <w:noWrap w:val="0"/>
            <w:vAlign w:val="center"/>
          </w:tcPr>
          <w:p w14:paraId="45E7D87D">
            <w:pPr>
              <w:spacing w:line="360" w:lineRule="auto"/>
              <w:rPr>
                <w:rFonts w:ascii="宋体" w:hAnsi="宋体"/>
                <w:highlight w:val="none"/>
              </w:rPr>
            </w:pPr>
          </w:p>
        </w:tc>
      </w:tr>
      <w:tr w14:paraId="04533187">
        <w:trPr>
          <w:trHeight w:val="46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11BD0FB1">
            <w:pPr>
              <w:spacing w:line="360" w:lineRule="auto"/>
              <w:rPr>
                <w:rFonts w:ascii="宋体" w:hAnsi="宋体"/>
                <w:highlight w:val="none"/>
              </w:rPr>
            </w:pPr>
            <w:r>
              <w:rPr>
                <w:rFonts w:hint="eastAsia" w:ascii="宋体" w:hAnsi="宋体"/>
                <w:highlight w:val="none"/>
              </w:rPr>
              <w:t>法定代表人（或单位负责人）</w:t>
            </w: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6BA933">
            <w:pPr>
              <w:spacing w:line="360" w:lineRule="auto"/>
              <w:rPr>
                <w:rFonts w:ascii="宋体" w:hAnsi="宋体"/>
                <w:highlight w:val="none"/>
              </w:rPr>
            </w:pPr>
            <w:r>
              <w:rPr>
                <w:rFonts w:hint="eastAsia" w:ascii="宋体" w:hAnsi="宋体"/>
                <w:highlight w:val="none"/>
              </w:rPr>
              <w:t>姓名</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1BD622B">
            <w:pPr>
              <w:spacing w:line="360" w:lineRule="auto"/>
              <w:rPr>
                <w:rFonts w:ascii="宋体" w:hAnsi="宋体"/>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38B45286">
            <w:pPr>
              <w:spacing w:line="360" w:lineRule="auto"/>
              <w:rPr>
                <w:rFonts w:ascii="宋体" w:hAnsi="宋体"/>
                <w:highlight w:val="none"/>
              </w:rPr>
            </w:pPr>
            <w:r>
              <w:rPr>
                <w:rFonts w:hint="eastAsia" w:ascii="宋体" w:hAnsi="宋体"/>
                <w:highlight w:val="none"/>
              </w:rPr>
              <w:t>电话</w:t>
            </w:r>
          </w:p>
        </w:tc>
        <w:tc>
          <w:tcPr>
            <w:tcW w:w="1557" w:type="dxa"/>
            <w:tcBorders>
              <w:top w:val="single" w:color="auto" w:sz="6" w:space="0"/>
              <w:left w:val="single" w:color="auto" w:sz="6" w:space="0"/>
              <w:bottom w:val="single" w:color="auto" w:sz="6" w:space="0"/>
              <w:right w:val="single" w:color="auto" w:sz="18" w:space="0"/>
            </w:tcBorders>
            <w:noWrap w:val="0"/>
            <w:vAlign w:val="center"/>
          </w:tcPr>
          <w:p w14:paraId="19603040">
            <w:pPr>
              <w:spacing w:line="360" w:lineRule="auto"/>
              <w:rPr>
                <w:rFonts w:ascii="宋体" w:hAnsi="宋体"/>
                <w:highlight w:val="none"/>
              </w:rPr>
            </w:pPr>
          </w:p>
        </w:tc>
      </w:tr>
      <w:tr w14:paraId="4B2C30A6">
        <w:trPr>
          <w:cantSplit/>
          <w:trHeight w:val="44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6715C957">
            <w:pPr>
              <w:spacing w:line="360" w:lineRule="auto"/>
              <w:rPr>
                <w:rFonts w:ascii="宋体" w:hAnsi="宋体"/>
                <w:highlight w:val="none"/>
              </w:rPr>
            </w:pPr>
            <w:r>
              <w:rPr>
                <w:rFonts w:hint="eastAsia" w:ascii="宋体" w:hAnsi="宋体"/>
                <w:highlight w:val="none"/>
              </w:rPr>
              <w:t>成立时间</w:t>
            </w: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2CDD67E">
            <w:pPr>
              <w:spacing w:line="360" w:lineRule="auto"/>
              <w:rPr>
                <w:rFonts w:ascii="宋体" w:hAnsi="宋体"/>
                <w:highlight w:val="none"/>
              </w:rPr>
            </w:pPr>
          </w:p>
        </w:tc>
        <w:tc>
          <w:tcPr>
            <w:tcW w:w="4533" w:type="dxa"/>
            <w:gridSpan w:val="3"/>
            <w:tcBorders>
              <w:top w:val="single" w:color="auto" w:sz="6" w:space="0"/>
              <w:left w:val="single" w:color="auto" w:sz="6" w:space="0"/>
              <w:bottom w:val="single" w:color="auto" w:sz="6" w:space="0"/>
              <w:right w:val="single" w:color="auto" w:sz="18" w:space="0"/>
            </w:tcBorders>
            <w:noWrap w:val="0"/>
            <w:vAlign w:val="center"/>
          </w:tcPr>
          <w:p w14:paraId="0D06CEBC">
            <w:pPr>
              <w:spacing w:line="360" w:lineRule="auto"/>
              <w:rPr>
                <w:rFonts w:ascii="宋体" w:hAnsi="宋体"/>
                <w:highlight w:val="none"/>
              </w:rPr>
            </w:pPr>
            <w:r>
              <w:rPr>
                <w:rFonts w:hint="eastAsia" w:ascii="宋体" w:hAnsi="宋体"/>
                <w:highlight w:val="none"/>
              </w:rPr>
              <w:t>员工总人数：</w:t>
            </w:r>
          </w:p>
        </w:tc>
      </w:tr>
      <w:tr w14:paraId="7238BFD8">
        <w:trPr>
          <w:cantSplit/>
          <w:trHeight w:val="840" w:hRule="atLeast"/>
          <w:jc w:val="center"/>
        </w:trPr>
        <w:tc>
          <w:tcPr>
            <w:tcW w:w="2977" w:type="dxa"/>
            <w:tcBorders>
              <w:top w:val="single" w:color="auto" w:sz="6" w:space="0"/>
              <w:left w:val="single" w:color="auto" w:sz="18" w:space="0"/>
              <w:right w:val="single" w:color="auto" w:sz="6" w:space="0"/>
            </w:tcBorders>
            <w:noWrap w:val="0"/>
            <w:vAlign w:val="center"/>
          </w:tcPr>
          <w:p w14:paraId="42E42D2C">
            <w:pPr>
              <w:spacing w:line="360" w:lineRule="auto"/>
              <w:rPr>
                <w:rFonts w:ascii="宋体" w:hAnsi="宋体"/>
                <w:highlight w:val="none"/>
              </w:rPr>
            </w:pPr>
            <w:r>
              <w:rPr>
                <w:rFonts w:hint="eastAsia" w:ascii="宋体" w:hAnsi="宋体"/>
                <w:highlight w:val="none"/>
              </w:rPr>
              <w:t>统一社会信用代码</w:t>
            </w:r>
          </w:p>
        </w:tc>
        <w:tc>
          <w:tcPr>
            <w:tcW w:w="5809" w:type="dxa"/>
            <w:gridSpan w:val="4"/>
            <w:tcBorders>
              <w:top w:val="single" w:color="auto" w:sz="6" w:space="0"/>
              <w:left w:val="single" w:color="auto" w:sz="6" w:space="0"/>
              <w:right w:val="single" w:color="auto" w:sz="18" w:space="0"/>
            </w:tcBorders>
            <w:noWrap w:val="0"/>
            <w:vAlign w:val="center"/>
          </w:tcPr>
          <w:p w14:paraId="4F51C091">
            <w:pPr>
              <w:spacing w:line="360" w:lineRule="auto"/>
              <w:rPr>
                <w:rFonts w:ascii="宋体" w:hAnsi="宋体"/>
                <w:highlight w:val="none"/>
              </w:rPr>
            </w:pPr>
          </w:p>
        </w:tc>
      </w:tr>
      <w:tr w14:paraId="009ED459">
        <w:trPr>
          <w:cantSplit/>
          <w:trHeight w:val="44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485FDDA6">
            <w:pPr>
              <w:spacing w:line="360" w:lineRule="auto"/>
              <w:rPr>
                <w:rFonts w:ascii="宋体" w:hAnsi="宋体"/>
                <w:highlight w:val="none"/>
              </w:rPr>
            </w:pPr>
            <w:r>
              <w:rPr>
                <w:rFonts w:hint="eastAsia" w:ascii="宋体" w:hAnsi="宋体"/>
                <w:highlight w:val="none"/>
              </w:rPr>
              <w:t>注册资金</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68B095E7">
            <w:pPr>
              <w:spacing w:line="360" w:lineRule="auto"/>
              <w:rPr>
                <w:rFonts w:ascii="宋体" w:hAnsi="宋体"/>
                <w:highlight w:val="none"/>
              </w:rPr>
            </w:pPr>
          </w:p>
        </w:tc>
      </w:tr>
      <w:tr w14:paraId="6D4C21E3">
        <w:trPr>
          <w:cantSplit/>
          <w:trHeight w:val="46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0E4190BE">
            <w:pPr>
              <w:spacing w:line="360" w:lineRule="auto"/>
              <w:rPr>
                <w:rFonts w:ascii="宋体" w:hAnsi="宋体"/>
                <w:highlight w:val="none"/>
              </w:rPr>
            </w:pPr>
            <w:r>
              <w:rPr>
                <w:rFonts w:hint="eastAsia" w:ascii="宋体" w:hAnsi="宋体"/>
                <w:highlight w:val="none"/>
              </w:rPr>
              <w:t>开户银行</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41C5F5AA">
            <w:pPr>
              <w:spacing w:line="360" w:lineRule="auto"/>
              <w:rPr>
                <w:rFonts w:ascii="宋体" w:hAnsi="宋体"/>
                <w:highlight w:val="none"/>
              </w:rPr>
            </w:pPr>
          </w:p>
        </w:tc>
      </w:tr>
      <w:tr w14:paraId="65660A18">
        <w:trPr>
          <w:cantSplit/>
          <w:trHeight w:val="442"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48930D03">
            <w:pPr>
              <w:spacing w:line="360" w:lineRule="auto"/>
              <w:rPr>
                <w:rFonts w:ascii="宋体" w:hAnsi="宋体"/>
                <w:highlight w:val="none"/>
              </w:rPr>
            </w:pPr>
            <w:r>
              <w:rPr>
                <w:rFonts w:hint="eastAsia" w:ascii="宋体" w:hAnsi="宋体"/>
                <w:highlight w:val="none"/>
              </w:rPr>
              <w:t>账号</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07EF6FE1">
            <w:pPr>
              <w:spacing w:line="360" w:lineRule="auto"/>
              <w:rPr>
                <w:rFonts w:ascii="宋体" w:hAnsi="宋体"/>
                <w:highlight w:val="none"/>
              </w:rPr>
            </w:pPr>
          </w:p>
        </w:tc>
      </w:tr>
      <w:tr w14:paraId="0B7F0419">
        <w:trPr>
          <w:cantSplit/>
          <w:trHeight w:val="846"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23288F90">
            <w:pPr>
              <w:spacing w:line="360" w:lineRule="auto"/>
              <w:rPr>
                <w:rFonts w:ascii="宋体" w:hAnsi="宋体"/>
                <w:highlight w:val="none"/>
              </w:rPr>
            </w:pPr>
            <w:r>
              <w:rPr>
                <w:rFonts w:hint="eastAsia" w:ascii="宋体" w:hAnsi="宋体"/>
                <w:highlight w:val="none"/>
              </w:rPr>
              <w:t>经营范围</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48AA58B0">
            <w:pPr>
              <w:spacing w:line="360" w:lineRule="auto"/>
              <w:rPr>
                <w:rFonts w:ascii="宋体" w:hAnsi="宋体"/>
                <w:highlight w:val="none"/>
              </w:rPr>
            </w:pPr>
          </w:p>
        </w:tc>
      </w:tr>
      <w:tr w14:paraId="7BF18C91">
        <w:trPr>
          <w:cantSplit/>
          <w:trHeight w:val="700"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2784A9A1">
            <w:pPr>
              <w:spacing w:line="360" w:lineRule="auto"/>
              <w:rPr>
                <w:rFonts w:hint="eastAsia" w:ascii="宋体" w:hAnsi="宋体"/>
                <w:highlight w:val="none"/>
              </w:rPr>
            </w:pPr>
            <w:r>
              <w:rPr>
                <w:rFonts w:hint="eastAsia" w:ascii="宋体" w:hAnsi="宋体"/>
                <w:highlight w:val="none"/>
              </w:rPr>
              <w:t>与比选申请人法定代表人（单位负责人）为同一人的单位</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0C0108D5">
            <w:pPr>
              <w:spacing w:line="360" w:lineRule="auto"/>
              <w:rPr>
                <w:rFonts w:ascii="宋体" w:hAnsi="宋体"/>
                <w:highlight w:val="none"/>
              </w:rPr>
            </w:pPr>
          </w:p>
        </w:tc>
      </w:tr>
      <w:tr w14:paraId="3060C595">
        <w:trPr>
          <w:cantSplit/>
          <w:trHeight w:val="695"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3995CD23">
            <w:pPr>
              <w:spacing w:line="360" w:lineRule="auto"/>
              <w:rPr>
                <w:rFonts w:hint="eastAsia" w:ascii="宋体" w:hAnsi="宋体"/>
                <w:highlight w:val="none"/>
              </w:rPr>
            </w:pPr>
            <w:r>
              <w:rPr>
                <w:rFonts w:hint="eastAsia" w:ascii="宋体" w:hAnsi="宋体"/>
                <w:highlight w:val="none"/>
              </w:rPr>
              <w:t>与比选申请人存在控股关系的单位</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37F56A87">
            <w:pPr>
              <w:spacing w:line="360" w:lineRule="auto"/>
              <w:rPr>
                <w:rFonts w:ascii="宋体" w:hAnsi="宋体"/>
                <w:highlight w:val="none"/>
              </w:rPr>
            </w:pPr>
          </w:p>
        </w:tc>
      </w:tr>
      <w:tr w14:paraId="11312404">
        <w:trPr>
          <w:cantSplit/>
          <w:trHeight w:val="691" w:hRule="atLeast"/>
          <w:jc w:val="center"/>
        </w:trPr>
        <w:tc>
          <w:tcPr>
            <w:tcW w:w="2977" w:type="dxa"/>
            <w:tcBorders>
              <w:top w:val="single" w:color="auto" w:sz="6" w:space="0"/>
              <w:left w:val="single" w:color="auto" w:sz="18" w:space="0"/>
              <w:bottom w:val="single" w:color="auto" w:sz="6" w:space="0"/>
              <w:right w:val="single" w:color="auto" w:sz="6" w:space="0"/>
            </w:tcBorders>
            <w:noWrap w:val="0"/>
            <w:vAlign w:val="center"/>
          </w:tcPr>
          <w:p w14:paraId="6D08F6DE">
            <w:pPr>
              <w:spacing w:line="360" w:lineRule="auto"/>
              <w:rPr>
                <w:rFonts w:hint="eastAsia" w:ascii="宋体" w:hAnsi="宋体"/>
                <w:highlight w:val="none"/>
              </w:rPr>
            </w:pPr>
            <w:r>
              <w:rPr>
                <w:rFonts w:hint="eastAsia" w:ascii="宋体" w:hAnsi="宋体"/>
                <w:highlight w:val="none"/>
              </w:rPr>
              <w:t>与比选申请人存在管理关系的单位</w:t>
            </w:r>
          </w:p>
        </w:tc>
        <w:tc>
          <w:tcPr>
            <w:tcW w:w="5809" w:type="dxa"/>
            <w:gridSpan w:val="4"/>
            <w:tcBorders>
              <w:top w:val="single" w:color="auto" w:sz="6" w:space="0"/>
              <w:left w:val="single" w:color="auto" w:sz="6" w:space="0"/>
              <w:bottom w:val="single" w:color="auto" w:sz="6" w:space="0"/>
              <w:right w:val="single" w:color="auto" w:sz="18" w:space="0"/>
            </w:tcBorders>
            <w:noWrap w:val="0"/>
            <w:vAlign w:val="center"/>
          </w:tcPr>
          <w:p w14:paraId="5A7D44F3">
            <w:pPr>
              <w:spacing w:line="360" w:lineRule="auto"/>
              <w:rPr>
                <w:rFonts w:ascii="宋体" w:hAnsi="宋体"/>
                <w:highlight w:val="none"/>
              </w:rPr>
            </w:pPr>
          </w:p>
        </w:tc>
      </w:tr>
      <w:tr w14:paraId="006383C8">
        <w:trPr>
          <w:cantSplit/>
          <w:trHeight w:val="592" w:hRule="atLeast"/>
          <w:jc w:val="center"/>
        </w:trPr>
        <w:tc>
          <w:tcPr>
            <w:tcW w:w="2977" w:type="dxa"/>
            <w:tcBorders>
              <w:top w:val="single" w:color="auto" w:sz="6" w:space="0"/>
              <w:left w:val="single" w:color="auto" w:sz="18" w:space="0"/>
              <w:bottom w:val="single" w:color="auto" w:sz="18" w:space="0"/>
              <w:right w:val="single" w:color="auto" w:sz="6" w:space="0"/>
            </w:tcBorders>
            <w:noWrap w:val="0"/>
            <w:vAlign w:val="top"/>
          </w:tcPr>
          <w:p w14:paraId="6AA92358">
            <w:pPr>
              <w:spacing w:line="360" w:lineRule="auto"/>
              <w:rPr>
                <w:rFonts w:ascii="宋体" w:hAnsi="宋体"/>
                <w:highlight w:val="none"/>
              </w:rPr>
            </w:pPr>
            <w:r>
              <w:rPr>
                <w:rFonts w:hint="eastAsia" w:ascii="宋体" w:hAnsi="宋体"/>
                <w:highlight w:val="none"/>
              </w:rPr>
              <w:t>备注</w:t>
            </w:r>
          </w:p>
        </w:tc>
        <w:tc>
          <w:tcPr>
            <w:tcW w:w="5809" w:type="dxa"/>
            <w:gridSpan w:val="4"/>
            <w:tcBorders>
              <w:top w:val="single" w:color="auto" w:sz="6" w:space="0"/>
              <w:left w:val="single" w:color="auto" w:sz="6" w:space="0"/>
              <w:bottom w:val="single" w:color="auto" w:sz="18" w:space="0"/>
              <w:right w:val="single" w:color="auto" w:sz="18" w:space="0"/>
            </w:tcBorders>
            <w:noWrap w:val="0"/>
            <w:vAlign w:val="top"/>
          </w:tcPr>
          <w:p w14:paraId="6A3CAB9E">
            <w:pPr>
              <w:spacing w:line="360" w:lineRule="auto"/>
              <w:rPr>
                <w:rFonts w:ascii="宋体" w:hAnsi="宋体"/>
                <w:highlight w:val="none"/>
              </w:rPr>
            </w:pPr>
          </w:p>
        </w:tc>
      </w:tr>
    </w:tbl>
    <w:p w14:paraId="60865A42">
      <w:pPr>
        <w:spacing w:line="360" w:lineRule="auto"/>
        <w:rPr>
          <w:rFonts w:hint="eastAsia" w:ascii="宋体" w:hAnsi="宋体" w:cs="MingLiU"/>
          <w:b/>
          <w:highlight w:val="none"/>
        </w:rPr>
      </w:pPr>
      <w:r>
        <w:rPr>
          <w:rFonts w:hint="eastAsia" w:ascii="宋体" w:hAnsi="宋体"/>
          <w:highlight w:val="none"/>
        </w:rPr>
        <w:tab/>
      </w:r>
      <w:r>
        <w:rPr>
          <w:rFonts w:hint="eastAsia" w:ascii="宋体" w:hAnsi="宋体" w:cs="MingLiU"/>
          <w:b/>
          <w:highlight w:val="none"/>
        </w:rPr>
        <w:t>注：</w:t>
      </w:r>
    </w:p>
    <w:p w14:paraId="5F1337AD">
      <w:pPr>
        <w:pStyle w:val="19"/>
        <w:widowControl/>
        <w:numPr>
          <w:ilvl w:val="0"/>
          <w:numId w:val="87"/>
        </w:numPr>
        <w:tabs>
          <w:tab w:val="left" w:pos="840"/>
        </w:tabs>
        <w:topLinePunct w:val="0"/>
        <w:ind w:left="0" w:leftChars="0" w:firstLine="480" w:firstLineChars="200"/>
        <w:rPr>
          <w:rFonts w:hint="eastAsia" w:ascii="宋体" w:hAnsi="宋体" w:eastAsia="宋体" w:cs="宋体"/>
          <w:b w:val="0"/>
          <w:highlight w:val="none"/>
        </w:rPr>
      </w:pPr>
      <w:r>
        <w:rPr>
          <w:highlight w:val="none"/>
        </w:rPr>
        <w:t>比选申请人应填写此表；</w:t>
      </w:r>
    </w:p>
    <w:p w14:paraId="2A7E970E">
      <w:pPr>
        <w:pStyle w:val="19"/>
        <w:widowControl/>
        <w:numPr>
          <w:ilvl w:val="0"/>
          <w:numId w:val="87"/>
        </w:numPr>
        <w:tabs>
          <w:tab w:val="left" w:pos="840"/>
        </w:tabs>
        <w:topLinePunct w:val="0"/>
        <w:ind w:left="0" w:leftChars="0" w:firstLine="480" w:firstLineChars="200"/>
        <w:rPr>
          <w:rFonts w:hint="eastAsia" w:ascii="宋体" w:hAnsi="宋体" w:eastAsia="宋体" w:cs="宋体"/>
          <w:b w:val="0"/>
          <w:highlight w:val="none"/>
        </w:rPr>
      </w:pPr>
      <w:r>
        <w:rPr>
          <w:highlight w:val="none"/>
        </w:rPr>
        <w:t>本表后应附比选申请人营业执照、道路安全许可证、信用中国失信被执行人等相关信息查询截图证明材料，以上所需资料均提供扫描件或复印件并装入比选申请文件，并加盖单位（法定名称）章。</w:t>
      </w:r>
    </w:p>
    <w:p w14:paraId="0B864227">
      <w:pPr>
        <w:rPr>
          <w:highlight w:val="none"/>
        </w:rPr>
      </w:pPr>
      <w:bookmarkStart w:id="899" w:name="_Toc150512322"/>
      <w:bookmarkStart w:id="900" w:name="_Toc177660974"/>
      <w:r>
        <w:rPr>
          <w:highlight w:val="none"/>
        </w:rPr>
        <w:br w:type="page"/>
      </w:r>
    </w:p>
    <w:p w14:paraId="3F56F0CB">
      <w:pPr>
        <w:pStyle w:val="2"/>
        <w:widowControl/>
        <w:tabs>
          <w:tab w:val="left" w:pos="0"/>
        </w:tabs>
        <w:ind w:left="0" w:leftChars="0" w:firstLine="0" w:firstLineChars="0"/>
        <w:rPr>
          <w:highlight w:val="none"/>
        </w:rPr>
      </w:pPr>
      <w:r>
        <w:rPr>
          <w:highlight w:val="none"/>
        </w:rPr>
        <w:t>五、类似业绩</w:t>
      </w:r>
      <w:bookmarkEnd w:id="899"/>
      <w:bookmarkEnd w:id="900"/>
    </w:p>
    <w:tbl>
      <w:tblPr>
        <w:tblStyle w:val="53"/>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722"/>
        <w:gridCol w:w="2020"/>
        <w:gridCol w:w="1485"/>
        <w:gridCol w:w="1485"/>
      </w:tblGrid>
      <w:tr w14:paraId="0611FBF4">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0E3E9BD6">
            <w:pPr>
              <w:adjustRightInd w:val="0"/>
              <w:snapToGrid w:val="0"/>
              <w:spacing w:line="360" w:lineRule="auto"/>
              <w:jc w:val="center"/>
              <w:rPr>
                <w:rFonts w:ascii="宋体" w:hAnsi="宋体" w:cs="宋体"/>
                <w:highlight w:val="none"/>
              </w:rPr>
            </w:pPr>
            <w:r>
              <w:rPr>
                <w:rFonts w:hint="eastAsia" w:ascii="宋体" w:hAnsi="宋体" w:cs="宋体"/>
                <w:highlight w:val="none"/>
              </w:rPr>
              <w:t>序号</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54D7293C">
            <w:pPr>
              <w:adjustRightInd w:val="0"/>
              <w:snapToGrid w:val="0"/>
              <w:spacing w:line="360" w:lineRule="auto"/>
              <w:jc w:val="center"/>
              <w:rPr>
                <w:rFonts w:ascii="宋体" w:hAnsi="宋体" w:cs="宋体"/>
                <w:highlight w:val="none"/>
              </w:rPr>
            </w:pPr>
            <w:r>
              <w:rPr>
                <w:rFonts w:hint="eastAsia" w:ascii="宋体" w:hAnsi="宋体" w:cs="宋体"/>
                <w:highlight w:val="none"/>
              </w:rPr>
              <w:t>项目名称</w:t>
            </w: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85DF5D5">
            <w:pPr>
              <w:adjustRightInd w:val="0"/>
              <w:snapToGrid w:val="0"/>
              <w:spacing w:line="360" w:lineRule="auto"/>
              <w:jc w:val="center"/>
              <w:rPr>
                <w:rFonts w:ascii="宋体" w:hAnsi="宋体" w:cs="宋体"/>
                <w:highlight w:val="none"/>
              </w:rPr>
            </w:pPr>
            <w:r>
              <w:rPr>
                <w:rFonts w:hint="eastAsia" w:ascii="宋体" w:hAnsi="宋体" w:cs="宋体"/>
                <w:highlight w:val="none"/>
              </w:rPr>
              <w:t>委托人名称</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E043645">
            <w:pPr>
              <w:adjustRightInd w:val="0"/>
              <w:snapToGrid w:val="0"/>
              <w:spacing w:line="360" w:lineRule="auto"/>
              <w:jc w:val="center"/>
              <w:rPr>
                <w:rFonts w:ascii="宋体" w:hAnsi="宋体" w:cs="宋体"/>
                <w:highlight w:val="none"/>
              </w:rPr>
            </w:pPr>
            <w:r>
              <w:rPr>
                <w:rFonts w:hint="eastAsia" w:ascii="宋体" w:hAnsi="宋体" w:cs="宋体"/>
                <w:highlight w:val="none"/>
              </w:rPr>
              <w:t>合同金额（万元）</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FD36D22">
            <w:pPr>
              <w:adjustRightInd w:val="0"/>
              <w:snapToGrid w:val="0"/>
              <w:spacing w:line="360" w:lineRule="auto"/>
              <w:jc w:val="center"/>
              <w:rPr>
                <w:rFonts w:ascii="宋体" w:hAnsi="宋体" w:cs="宋体"/>
                <w:highlight w:val="none"/>
              </w:rPr>
            </w:pPr>
            <w:r>
              <w:rPr>
                <w:rFonts w:hint="eastAsia" w:ascii="宋体" w:hAnsi="宋体" w:cs="宋体"/>
                <w:highlight w:val="none"/>
              </w:rPr>
              <w:t>备注</w:t>
            </w:r>
          </w:p>
        </w:tc>
      </w:tr>
      <w:tr w14:paraId="4088E2E8">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46251FF3">
            <w:pPr>
              <w:adjustRightInd w:val="0"/>
              <w:snapToGrid w:val="0"/>
              <w:spacing w:line="360" w:lineRule="auto"/>
              <w:jc w:val="center"/>
              <w:rPr>
                <w:rFonts w:ascii="宋体" w:hAnsi="宋体" w:cs="宋体"/>
                <w:highlight w:val="none"/>
              </w:rPr>
            </w:pPr>
            <w:r>
              <w:rPr>
                <w:rFonts w:hint="eastAsia" w:ascii="宋体" w:hAnsi="宋体" w:cs="宋体"/>
                <w:highlight w:val="none"/>
              </w:rPr>
              <w:t>1</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3DD8968">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0978238">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0DFAD3D">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FEEEFB0">
            <w:pPr>
              <w:adjustRightInd w:val="0"/>
              <w:snapToGrid w:val="0"/>
              <w:spacing w:line="360" w:lineRule="auto"/>
              <w:jc w:val="center"/>
              <w:rPr>
                <w:rFonts w:ascii="宋体" w:hAnsi="宋体" w:cs="宋体"/>
                <w:highlight w:val="none"/>
              </w:rPr>
            </w:pPr>
          </w:p>
        </w:tc>
      </w:tr>
      <w:tr w14:paraId="6ABFAEE8">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7AE9A08D">
            <w:pPr>
              <w:adjustRightInd w:val="0"/>
              <w:snapToGrid w:val="0"/>
              <w:spacing w:line="360" w:lineRule="auto"/>
              <w:jc w:val="center"/>
              <w:rPr>
                <w:rFonts w:ascii="宋体" w:hAnsi="宋体" w:cs="宋体"/>
                <w:highlight w:val="none"/>
              </w:rPr>
            </w:pPr>
            <w:r>
              <w:rPr>
                <w:rFonts w:hint="eastAsia" w:ascii="宋体" w:hAnsi="宋体" w:cs="宋体"/>
                <w:highlight w:val="none"/>
              </w:rPr>
              <w:t>2</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4DB902E">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7A747978">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187DBF4">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5DBA990">
            <w:pPr>
              <w:adjustRightInd w:val="0"/>
              <w:snapToGrid w:val="0"/>
              <w:spacing w:line="360" w:lineRule="auto"/>
              <w:jc w:val="center"/>
              <w:rPr>
                <w:rFonts w:ascii="宋体" w:hAnsi="宋体" w:cs="宋体"/>
                <w:highlight w:val="none"/>
              </w:rPr>
            </w:pPr>
          </w:p>
        </w:tc>
      </w:tr>
      <w:tr w14:paraId="3F2B4A2F">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7C850C59">
            <w:pPr>
              <w:adjustRightInd w:val="0"/>
              <w:snapToGrid w:val="0"/>
              <w:spacing w:line="360" w:lineRule="auto"/>
              <w:jc w:val="center"/>
              <w:rPr>
                <w:rFonts w:hint="eastAsia" w:ascii="宋体" w:hAnsi="宋体" w:cs="宋体"/>
                <w:highlight w:val="none"/>
              </w:rPr>
            </w:pPr>
            <w:r>
              <w:rPr>
                <w:rFonts w:hint="eastAsia" w:ascii="宋体" w:hAnsi="宋体" w:cs="宋体"/>
                <w:highlight w:val="none"/>
              </w:rPr>
              <w:t>3</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3FEF0400">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2B3A1683">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50FF4F">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6919D4C">
            <w:pPr>
              <w:adjustRightInd w:val="0"/>
              <w:snapToGrid w:val="0"/>
              <w:spacing w:line="360" w:lineRule="auto"/>
              <w:jc w:val="center"/>
              <w:rPr>
                <w:rFonts w:ascii="宋体" w:hAnsi="宋体" w:cs="宋体"/>
                <w:highlight w:val="none"/>
              </w:rPr>
            </w:pPr>
          </w:p>
        </w:tc>
      </w:tr>
      <w:tr w14:paraId="76F5FAF1">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7B6FAC0E">
            <w:pPr>
              <w:adjustRightInd w:val="0"/>
              <w:snapToGrid w:val="0"/>
              <w:spacing w:line="360" w:lineRule="auto"/>
              <w:jc w:val="center"/>
              <w:rPr>
                <w:rFonts w:ascii="宋体" w:hAnsi="宋体" w:cs="宋体"/>
                <w:highlight w:val="none"/>
              </w:rPr>
            </w:pPr>
            <w:r>
              <w:rPr>
                <w:rFonts w:hint="eastAsia" w:ascii="宋体" w:hAnsi="宋体" w:cs="宋体"/>
                <w:highlight w:val="none"/>
              </w:rPr>
              <w:t>4</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1690322D">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0DBA4C4">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BEF0A6B">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140677D">
            <w:pPr>
              <w:adjustRightInd w:val="0"/>
              <w:snapToGrid w:val="0"/>
              <w:spacing w:line="360" w:lineRule="auto"/>
              <w:jc w:val="center"/>
              <w:rPr>
                <w:rFonts w:ascii="宋体" w:hAnsi="宋体" w:cs="宋体"/>
                <w:highlight w:val="none"/>
              </w:rPr>
            </w:pPr>
          </w:p>
        </w:tc>
      </w:tr>
      <w:tr w14:paraId="3A401485">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0796CD2F">
            <w:pPr>
              <w:adjustRightInd w:val="0"/>
              <w:snapToGrid w:val="0"/>
              <w:spacing w:line="360" w:lineRule="auto"/>
              <w:jc w:val="center"/>
              <w:rPr>
                <w:rFonts w:ascii="宋体" w:hAnsi="宋体" w:cs="宋体"/>
                <w:highlight w:val="none"/>
              </w:rPr>
            </w:pPr>
            <w:r>
              <w:rPr>
                <w:rFonts w:hint="eastAsia" w:ascii="宋体" w:hAnsi="宋体" w:cs="宋体"/>
                <w:highlight w:val="none"/>
              </w:rPr>
              <w:t>5</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E428C59">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A18896A">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8EA2152">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146AE7B">
            <w:pPr>
              <w:adjustRightInd w:val="0"/>
              <w:snapToGrid w:val="0"/>
              <w:spacing w:line="360" w:lineRule="auto"/>
              <w:jc w:val="center"/>
              <w:rPr>
                <w:rFonts w:ascii="宋体" w:hAnsi="宋体" w:cs="宋体"/>
                <w:highlight w:val="none"/>
              </w:rPr>
            </w:pPr>
          </w:p>
        </w:tc>
      </w:tr>
      <w:tr w14:paraId="2391BA85">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0C597FE1">
            <w:pPr>
              <w:adjustRightInd w:val="0"/>
              <w:snapToGrid w:val="0"/>
              <w:spacing w:line="360" w:lineRule="auto"/>
              <w:jc w:val="center"/>
              <w:rPr>
                <w:rFonts w:hint="eastAsia" w:ascii="宋体" w:hAnsi="宋体" w:cs="宋体"/>
                <w:highlight w:val="none"/>
              </w:rPr>
            </w:pPr>
            <w:r>
              <w:rPr>
                <w:rFonts w:hint="eastAsia" w:ascii="宋体" w:hAnsi="宋体" w:cs="宋体"/>
                <w:highlight w:val="none"/>
              </w:rPr>
              <w:t>6</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4FB720D9">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07FD6B4E">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981D683">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0A3F623">
            <w:pPr>
              <w:adjustRightInd w:val="0"/>
              <w:snapToGrid w:val="0"/>
              <w:spacing w:line="360" w:lineRule="auto"/>
              <w:jc w:val="center"/>
              <w:rPr>
                <w:rFonts w:ascii="宋体" w:hAnsi="宋体" w:cs="宋体"/>
                <w:highlight w:val="none"/>
              </w:rPr>
            </w:pPr>
          </w:p>
        </w:tc>
      </w:tr>
      <w:tr w14:paraId="0B6360D4">
        <w:trPr>
          <w:trHeight w:val="680" w:hRule="atLeast"/>
          <w:jc w:val="center"/>
        </w:trPr>
        <w:tc>
          <w:tcPr>
            <w:tcW w:w="1236" w:type="dxa"/>
            <w:tcBorders>
              <w:top w:val="single" w:color="auto" w:sz="4" w:space="0"/>
              <w:left w:val="single" w:color="auto" w:sz="4" w:space="0"/>
              <w:bottom w:val="single" w:color="auto" w:sz="4" w:space="0"/>
              <w:right w:val="single" w:color="auto" w:sz="4" w:space="0"/>
            </w:tcBorders>
            <w:noWrap w:val="0"/>
            <w:vAlign w:val="center"/>
          </w:tcPr>
          <w:p w14:paraId="342BC3E5">
            <w:pPr>
              <w:adjustRightInd w:val="0"/>
              <w:snapToGrid w:val="0"/>
              <w:spacing w:line="360" w:lineRule="auto"/>
              <w:jc w:val="center"/>
              <w:rPr>
                <w:rFonts w:hint="eastAsia" w:ascii="宋体" w:hAnsi="宋体" w:cs="宋体"/>
                <w:highlight w:val="none"/>
              </w:rPr>
            </w:pPr>
            <w:r>
              <w:rPr>
                <w:rFonts w:hint="eastAsia" w:ascii="宋体" w:hAnsi="宋体" w:cs="宋体"/>
                <w:highlight w:val="none"/>
              </w:rPr>
              <w:t>7</w:t>
            </w:r>
          </w:p>
        </w:tc>
        <w:tc>
          <w:tcPr>
            <w:tcW w:w="2722" w:type="dxa"/>
            <w:tcBorders>
              <w:top w:val="single" w:color="auto" w:sz="4" w:space="0"/>
              <w:left w:val="single" w:color="auto" w:sz="4" w:space="0"/>
              <w:bottom w:val="single" w:color="auto" w:sz="4" w:space="0"/>
              <w:right w:val="single" w:color="auto" w:sz="4" w:space="0"/>
            </w:tcBorders>
            <w:noWrap w:val="0"/>
            <w:vAlign w:val="center"/>
          </w:tcPr>
          <w:p w14:paraId="0C473D14">
            <w:pPr>
              <w:adjustRightInd w:val="0"/>
              <w:snapToGrid w:val="0"/>
              <w:spacing w:line="360" w:lineRule="auto"/>
              <w:jc w:val="center"/>
              <w:rPr>
                <w:rFonts w:ascii="宋体" w:hAnsi="宋体"/>
                <w:highlight w:val="none"/>
              </w:rPr>
            </w:pPr>
          </w:p>
        </w:tc>
        <w:tc>
          <w:tcPr>
            <w:tcW w:w="2020" w:type="dxa"/>
            <w:tcBorders>
              <w:top w:val="single" w:color="auto" w:sz="4" w:space="0"/>
              <w:left w:val="single" w:color="auto" w:sz="4" w:space="0"/>
              <w:bottom w:val="single" w:color="auto" w:sz="4" w:space="0"/>
              <w:right w:val="single" w:color="auto" w:sz="4" w:space="0"/>
            </w:tcBorders>
            <w:noWrap w:val="0"/>
            <w:vAlign w:val="center"/>
          </w:tcPr>
          <w:p w14:paraId="1DD99145">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A7E6C04">
            <w:pPr>
              <w:adjustRightInd w:val="0"/>
              <w:snapToGrid w:val="0"/>
              <w:spacing w:line="360" w:lineRule="auto"/>
              <w:jc w:val="center"/>
              <w:rPr>
                <w:rFonts w:ascii="宋体" w:hAnsi="宋体"/>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957C656">
            <w:pPr>
              <w:adjustRightInd w:val="0"/>
              <w:snapToGrid w:val="0"/>
              <w:spacing w:line="360" w:lineRule="auto"/>
              <w:jc w:val="center"/>
              <w:rPr>
                <w:rFonts w:ascii="宋体" w:hAnsi="宋体" w:cs="宋体"/>
                <w:highlight w:val="none"/>
              </w:rPr>
            </w:pPr>
          </w:p>
        </w:tc>
      </w:tr>
    </w:tbl>
    <w:p w14:paraId="143C6E79">
      <w:pPr>
        <w:pStyle w:val="19"/>
        <w:widowControl/>
        <w:ind w:left="0" w:leftChars="0" w:firstLine="480" w:firstLineChars="200"/>
        <w:rPr>
          <w:highlight w:val="none"/>
        </w:rPr>
      </w:pPr>
      <w:r>
        <w:rPr>
          <w:highlight w:val="none"/>
        </w:rPr>
        <w:t>注：提供的证明材料详见第三章评审办法。</w:t>
      </w:r>
    </w:p>
    <w:p w14:paraId="040D3A9F">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highlight w:val="none"/>
        </w:rPr>
        <w:t>比选申请人</w:t>
      </w:r>
      <w:r>
        <w:rPr>
          <w:rFonts w:hint="eastAsia" w:ascii="Times New Roman" w:hAnsi="Times New Roman" w:eastAsia="宋体" w:cs="Times New Roman"/>
          <w:sz w:val="24"/>
          <w:szCs w:val="21"/>
          <w:highlight w:val="none"/>
        </w:rPr>
        <w:t>：</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（盖单位章）</w:t>
      </w:r>
      <w:r>
        <w:rPr>
          <w:rFonts w:hint="eastAsia" w:ascii="Times New Roman" w:hAnsi="Times New Roman" w:eastAsia="宋体" w:cs="Times New Roman"/>
          <w:sz w:val="24"/>
          <w:szCs w:val="21"/>
          <w:highlight w:val="none"/>
        </w:rPr>
        <w:tab/>
      </w:r>
    </w:p>
    <w:p w14:paraId="580CC33C">
      <w:pPr>
        <w:wordWrap w:val="0"/>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法定代表人（或单位负责人）或其委托代理人：</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（签字或盖章）</w:t>
      </w:r>
      <w:r>
        <w:rPr>
          <w:rFonts w:hint="eastAsia" w:ascii="Times New Roman" w:hAnsi="Times New Roman" w:eastAsia="宋体" w:cs="Times New Roman"/>
          <w:sz w:val="24"/>
          <w:szCs w:val="21"/>
          <w:highlight w:val="none"/>
        </w:rPr>
        <w:tab/>
      </w:r>
    </w:p>
    <w:p w14:paraId="3DFDA0A3">
      <w:pPr>
        <w:spacing w:after="120" w:afterAutospacing="0" w:line="360" w:lineRule="auto"/>
        <w:ind w:firstLine="5640" w:firstLineChars="2350"/>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 xml:space="preserve">月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2CCCC868">
      <w:pPr>
        <w:spacing w:line="360" w:lineRule="auto"/>
        <w:jc w:val="right"/>
        <w:rPr>
          <w:rFonts w:ascii="宋体" w:hAnsi="宋体"/>
          <w:b/>
          <w:sz w:val="44"/>
          <w:szCs w:val="44"/>
          <w:highlight w:val="none"/>
        </w:rPr>
      </w:pPr>
    </w:p>
    <w:p w14:paraId="39D4CFDE">
      <w:pPr>
        <w:pStyle w:val="19"/>
        <w:spacing w:line="360" w:lineRule="auto"/>
        <w:rPr>
          <w:rFonts w:hint="eastAsia" w:ascii="宋体" w:hAnsi="宋体"/>
          <w:highlight w:val="none"/>
        </w:rPr>
      </w:pPr>
      <w:r>
        <w:rPr>
          <w:rFonts w:ascii="宋体" w:hAnsi="宋体"/>
          <w:b/>
          <w:sz w:val="44"/>
          <w:szCs w:val="44"/>
          <w:highlight w:val="none"/>
        </w:rPr>
        <w:br w:type="page"/>
      </w:r>
      <w:bookmarkStart w:id="901" w:name="_Toc534192227"/>
      <w:bookmarkStart w:id="902" w:name="_Toc25072917"/>
      <w:bookmarkStart w:id="903" w:name="_Toc25073286"/>
    </w:p>
    <w:p w14:paraId="143754FD">
      <w:pPr>
        <w:pStyle w:val="2"/>
        <w:widowControl/>
        <w:tabs>
          <w:tab w:val="left" w:pos="0"/>
        </w:tabs>
        <w:ind w:left="0" w:leftChars="0" w:firstLine="0" w:firstLineChars="0"/>
        <w:rPr>
          <w:highlight w:val="none"/>
        </w:rPr>
      </w:pPr>
      <w:bookmarkStart w:id="904" w:name="_Toc177660975"/>
      <w:bookmarkStart w:id="905" w:name="_Toc150512323"/>
      <w:r>
        <w:rPr>
          <w:highlight w:val="none"/>
        </w:rPr>
        <w:t>六、</w:t>
      </w:r>
      <w:bookmarkEnd w:id="901"/>
      <w:r>
        <w:rPr>
          <w:highlight w:val="none"/>
        </w:rPr>
        <w:t>主要人员配备情况表</w:t>
      </w:r>
      <w:bookmarkEnd w:id="902"/>
      <w:bookmarkEnd w:id="903"/>
      <w:bookmarkEnd w:id="904"/>
      <w:bookmarkEnd w:id="905"/>
    </w:p>
    <w:tbl>
      <w:tblPr>
        <w:tblStyle w:val="53"/>
        <w:tblW w:w="8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421"/>
        <w:gridCol w:w="1712"/>
        <w:gridCol w:w="1729"/>
        <w:gridCol w:w="1619"/>
        <w:gridCol w:w="15"/>
      </w:tblGrid>
      <w:tr w14:paraId="7722E2EE">
        <w:trPr>
          <w:gridAfter w:val="1"/>
          <w:wAfter w:w="15" w:type="dxa"/>
          <w:cantSplit/>
          <w:trHeight w:val="395" w:hRule="exact"/>
        </w:trPr>
        <w:tc>
          <w:tcPr>
            <w:tcW w:w="1018" w:type="dxa"/>
            <w:vMerge w:val="restart"/>
            <w:noWrap w:val="0"/>
            <w:vAlign w:val="center"/>
          </w:tcPr>
          <w:p w14:paraId="01ADB0D3">
            <w:pPr>
              <w:spacing w:line="360" w:lineRule="auto"/>
              <w:jc w:val="center"/>
              <w:rPr>
                <w:rFonts w:hint="eastAsia" w:ascii="宋体" w:hAnsi="宋体" w:cs="仿宋"/>
                <w:highlight w:val="none"/>
              </w:rPr>
            </w:pPr>
            <w:r>
              <w:rPr>
                <w:rFonts w:hint="eastAsia" w:ascii="宋体" w:hAnsi="宋体" w:cs="仿宋"/>
                <w:highlight w:val="none"/>
              </w:rPr>
              <w:t>姓名</w:t>
            </w:r>
          </w:p>
        </w:tc>
        <w:tc>
          <w:tcPr>
            <w:tcW w:w="2421" w:type="dxa"/>
            <w:vMerge w:val="restart"/>
            <w:noWrap w:val="0"/>
            <w:vAlign w:val="center"/>
          </w:tcPr>
          <w:p w14:paraId="2C7663B4">
            <w:pPr>
              <w:spacing w:line="360" w:lineRule="auto"/>
              <w:jc w:val="center"/>
              <w:rPr>
                <w:rFonts w:hint="eastAsia" w:ascii="宋体" w:hAnsi="宋体" w:cs="仿宋"/>
                <w:highlight w:val="none"/>
              </w:rPr>
            </w:pPr>
            <w:r>
              <w:rPr>
                <w:rFonts w:hint="eastAsia" w:ascii="宋体" w:hAnsi="宋体" w:cs="仿宋"/>
                <w:highlight w:val="none"/>
              </w:rPr>
              <w:t>拟派本项目担任职务</w:t>
            </w:r>
          </w:p>
        </w:tc>
        <w:tc>
          <w:tcPr>
            <w:tcW w:w="3441" w:type="dxa"/>
            <w:gridSpan w:val="2"/>
            <w:noWrap w:val="0"/>
            <w:vAlign w:val="bottom"/>
          </w:tcPr>
          <w:p w14:paraId="5C42E6EE">
            <w:pPr>
              <w:spacing w:line="360" w:lineRule="auto"/>
              <w:jc w:val="center"/>
              <w:rPr>
                <w:rFonts w:hint="eastAsia" w:ascii="宋体" w:hAnsi="宋体" w:cs="仿宋"/>
                <w:highlight w:val="none"/>
              </w:rPr>
            </w:pPr>
            <w:r>
              <w:rPr>
                <w:rFonts w:hint="eastAsia" w:ascii="宋体" w:hAnsi="宋体" w:cs="仿宋"/>
                <w:highlight w:val="none"/>
              </w:rPr>
              <w:t>执业或职业资格证明</w:t>
            </w:r>
          </w:p>
        </w:tc>
        <w:tc>
          <w:tcPr>
            <w:tcW w:w="1619" w:type="dxa"/>
            <w:noWrap w:val="0"/>
            <w:vAlign w:val="center"/>
          </w:tcPr>
          <w:p w14:paraId="515A32AF">
            <w:pPr>
              <w:spacing w:line="360" w:lineRule="auto"/>
              <w:jc w:val="center"/>
              <w:rPr>
                <w:rFonts w:hint="eastAsia" w:ascii="宋体" w:hAnsi="宋体" w:cs="仿宋"/>
                <w:highlight w:val="none"/>
              </w:rPr>
            </w:pPr>
            <w:r>
              <w:rPr>
                <w:rFonts w:hint="eastAsia" w:ascii="宋体" w:hAnsi="宋体" w:cs="仿宋"/>
                <w:highlight w:val="none"/>
              </w:rPr>
              <w:t>备注</w:t>
            </w:r>
          </w:p>
        </w:tc>
      </w:tr>
      <w:tr w14:paraId="3E1C8D49">
        <w:trPr>
          <w:cantSplit/>
          <w:trHeight w:val="809" w:hRule="exact"/>
        </w:trPr>
        <w:tc>
          <w:tcPr>
            <w:tcW w:w="1018" w:type="dxa"/>
            <w:vMerge w:val="continue"/>
            <w:noWrap w:val="0"/>
            <w:vAlign w:val="top"/>
          </w:tcPr>
          <w:p w14:paraId="25FC4969">
            <w:pPr>
              <w:spacing w:line="360" w:lineRule="auto"/>
              <w:rPr>
                <w:rFonts w:hint="eastAsia" w:ascii="宋体" w:hAnsi="宋体" w:cs="仿宋"/>
                <w:highlight w:val="none"/>
              </w:rPr>
            </w:pPr>
          </w:p>
        </w:tc>
        <w:tc>
          <w:tcPr>
            <w:tcW w:w="2421" w:type="dxa"/>
            <w:vMerge w:val="continue"/>
            <w:noWrap w:val="0"/>
            <w:vAlign w:val="top"/>
          </w:tcPr>
          <w:p w14:paraId="6AC246A4">
            <w:pPr>
              <w:spacing w:line="360" w:lineRule="auto"/>
              <w:rPr>
                <w:rFonts w:hint="eastAsia" w:ascii="宋体" w:hAnsi="宋体" w:cs="仿宋"/>
                <w:highlight w:val="none"/>
              </w:rPr>
            </w:pPr>
          </w:p>
        </w:tc>
        <w:tc>
          <w:tcPr>
            <w:tcW w:w="1712" w:type="dxa"/>
            <w:noWrap w:val="0"/>
            <w:vAlign w:val="center"/>
          </w:tcPr>
          <w:p w14:paraId="712EB544">
            <w:pPr>
              <w:spacing w:line="360" w:lineRule="auto"/>
              <w:jc w:val="center"/>
              <w:rPr>
                <w:rFonts w:hint="eastAsia" w:ascii="宋体" w:hAnsi="宋体" w:cs="仿宋"/>
                <w:highlight w:val="none"/>
              </w:rPr>
            </w:pPr>
            <w:r>
              <w:rPr>
                <w:rFonts w:hint="eastAsia" w:ascii="宋体" w:hAnsi="宋体" w:cs="仿宋"/>
                <w:highlight w:val="none"/>
              </w:rPr>
              <w:t>证书名称</w:t>
            </w:r>
          </w:p>
        </w:tc>
        <w:tc>
          <w:tcPr>
            <w:tcW w:w="1729" w:type="dxa"/>
            <w:noWrap w:val="0"/>
            <w:vAlign w:val="center"/>
          </w:tcPr>
          <w:p w14:paraId="079A360A">
            <w:pPr>
              <w:spacing w:line="360" w:lineRule="auto"/>
              <w:jc w:val="center"/>
              <w:rPr>
                <w:rFonts w:hint="eastAsia" w:ascii="宋体" w:hAnsi="宋体" w:cs="仿宋"/>
                <w:highlight w:val="none"/>
              </w:rPr>
            </w:pPr>
            <w:r>
              <w:rPr>
                <w:rFonts w:hint="eastAsia" w:ascii="宋体" w:hAnsi="宋体" w:cs="仿宋"/>
                <w:highlight w:val="none"/>
              </w:rPr>
              <w:t>证号</w:t>
            </w:r>
          </w:p>
        </w:tc>
        <w:tc>
          <w:tcPr>
            <w:tcW w:w="1634" w:type="dxa"/>
            <w:gridSpan w:val="2"/>
            <w:noWrap w:val="0"/>
            <w:vAlign w:val="top"/>
          </w:tcPr>
          <w:p w14:paraId="405A76AD">
            <w:pPr>
              <w:spacing w:line="360" w:lineRule="auto"/>
              <w:rPr>
                <w:rFonts w:hint="eastAsia" w:ascii="宋体" w:hAnsi="宋体" w:cs="仿宋"/>
                <w:highlight w:val="none"/>
              </w:rPr>
            </w:pPr>
          </w:p>
        </w:tc>
      </w:tr>
      <w:tr w14:paraId="19CB5D27">
        <w:trPr>
          <w:trHeight w:val="395" w:hRule="exact"/>
        </w:trPr>
        <w:tc>
          <w:tcPr>
            <w:tcW w:w="1018" w:type="dxa"/>
            <w:noWrap w:val="0"/>
            <w:vAlign w:val="top"/>
          </w:tcPr>
          <w:p w14:paraId="06E0FD29">
            <w:pPr>
              <w:spacing w:line="360" w:lineRule="auto"/>
              <w:rPr>
                <w:rFonts w:hint="eastAsia" w:ascii="宋体" w:hAnsi="宋体" w:cs="仿宋"/>
                <w:highlight w:val="none"/>
              </w:rPr>
            </w:pPr>
          </w:p>
        </w:tc>
        <w:tc>
          <w:tcPr>
            <w:tcW w:w="2421" w:type="dxa"/>
            <w:noWrap w:val="0"/>
            <w:vAlign w:val="top"/>
          </w:tcPr>
          <w:p w14:paraId="41341525">
            <w:pPr>
              <w:spacing w:line="360" w:lineRule="auto"/>
              <w:rPr>
                <w:rFonts w:hint="eastAsia" w:ascii="宋体" w:hAnsi="宋体" w:cs="仿宋"/>
                <w:highlight w:val="none"/>
              </w:rPr>
            </w:pPr>
          </w:p>
        </w:tc>
        <w:tc>
          <w:tcPr>
            <w:tcW w:w="1712" w:type="dxa"/>
            <w:noWrap w:val="0"/>
            <w:vAlign w:val="top"/>
          </w:tcPr>
          <w:p w14:paraId="084DDAC5">
            <w:pPr>
              <w:spacing w:line="360" w:lineRule="auto"/>
              <w:rPr>
                <w:rFonts w:hint="eastAsia" w:ascii="宋体" w:hAnsi="宋体" w:cs="仿宋"/>
                <w:highlight w:val="none"/>
              </w:rPr>
            </w:pPr>
          </w:p>
        </w:tc>
        <w:tc>
          <w:tcPr>
            <w:tcW w:w="1729" w:type="dxa"/>
            <w:noWrap w:val="0"/>
            <w:vAlign w:val="top"/>
          </w:tcPr>
          <w:p w14:paraId="34AB2C04">
            <w:pPr>
              <w:spacing w:line="360" w:lineRule="auto"/>
              <w:rPr>
                <w:rFonts w:hint="eastAsia" w:ascii="宋体" w:hAnsi="宋体" w:cs="仿宋"/>
                <w:highlight w:val="none"/>
              </w:rPr>
            </w:pPr>
          </w:p>
        </w:tc>
        <w:tc>
          <w:tcPr>
            <w:tcW w:w="1634" w:type="dxa"/>
            <w:gridSpan w:val="2"/>
            <w:noWrap w:val="0"/>
            <w:vAlign w:val="top"/>
          </w:tcPr>
          <w:p w14:paraId="56920D53">
            <w:pPr>
              <w:spacing w:line="360" w:lineRule="auto"/>
              <w:rPr>
                <w:rFonts w:hint="eastAsia" w:ascii="宋体" w:hAnsi="宋体" w:cs="仿宋"/>
                <w:highlight w:val="none"/>
              </w:rPr>
            </w:pPr>
          </w:p>
        </w:tc>
      </w:tr>
      <w:tr w14:paraId="6101B50A">
        <w:trPr>
          <w:trHeight w:val="395" w:hRule="exact"/>
        </w:trPr>
        <w:tc>
          <w:tcPr>
            <w:tcW w:w="1018" w:type="dxa"/>
            <w:noWrap w:val="0"/>
            <w:vAlign w:val="top"/>
          </w:tcPr>
          <w:p w14:paraId="5C006ACD">
            <w:pPr>
              <w:spacing w:line="360" w:lineRule="auto"/>
              <w:rPr>
                <w:rFonts w:hint="eastAsia" w:ascii="宋体" w:hAnsi="宋体" w:cs="仿宋"/>
                <w:highlight w:val="none"/>
              </w:rPr>
            </w:pPr>
          </w:p>
        </w:tc>
        <w:tc>
          <w:tcPr>
            <w:tcW w:w="2421" w:type="dxa"/>
            <w:noWrap w:val="0"/>
            <w:vAlign w:val="top"/>
          </w:tcPr>
          <w:p w14:paraId="211A7E80">
            <w:pPr>
              <w:spacing w:line="360" w:lineRule="auto"/>
              <w:rPr>
                <w:rFonts w:hint="eastAsia" w:ascii="宋体" w:hAnsi="宋体" w:cs="仿宋"/>
                <w:highlight w:val="none"/>
              </w:rPr>
            </w:pPr>
          </w:p>
        </w:tc>
        <w:tc>
          <w:tcPr>
            <w:tcW w:w="1712" w:type="dxa"/>
            <w:noWrap w:val="0"/>
            <w:vAlign w:val="top"/>
          </w:tcPr>
          <w:p w14:paraId="2BA418E0">
            <w:pPr>
              <w:spacing w:line="360" w:lineRule="auto"/>
              <w:rPr>
                <w:rFonts w:hint="eastAsia" w:ascii="宋体" w:hAnsi="宋体" w:cs="仿宋"/>
                <w:highlight w:val="none"/>
              </w:rPr>
            </w:pPr>
          </w:p>
        </w:tc>
        <w:tc>
          <w:tcPr>
            <w:tcW w:w="1729" w:type="dxa"/>
            <w:noWrap w:val="0"/>
            <w:vAlign w:val="top"/>
          </w:tcPr>
          <w:p w14:paraId="199B17AD">
            <w:pPr>
              <w:spacing w:line="360" w:lineRule="auto"/>
              <w:rPr>
                <w:rFonts w:hint="eastAsia" w:ascii="宋体" w:hAnsi="宋体" w:cs="仿宋"/>
                <w:highlight w:val="none"/>
              </w:rPr>
            </w:pPr>
          </w:p>
        </w:tc>
        <w:tc>
          <w:tcPr>
            <w:tcW w:w="1634" w:type="dxa"/>
            <w:gridSpan w:val="2"/>
            <w:noWrap w:val="0"/>
            <w:vAlign w:val="top"/>
          </w:tcPr>
          <w:p w14:paraId="2C9EEB72">
            <w:pPr>
              <w:spacing w:line="360" w:lineRule="auto"/>
              <w:rPr>
                <w:rFonts w:hint="eastAsia" w:ascii="宋体" w:hAnsi="宋体" w:cs="仿宋"/>
                <w:highlight w:val="none"/>
              </w:rPr>
            </w:pPr>
          </w:p>
        </w:tc>
      </w:tr>
      <w:tr w14:paraId="3FC6039E">
        <w:trPr>
          <w:trHeight w:val="395" w:hRule="exact"/>
        </w:trPr>
        <w:tc>
          <w:tcPr>
            <w:tcW w:w="1018" w:type="dxa"/>
            <w:noWrap w:val="0"/>
            <w:vAlign w:val="top"/>
          </w:tcPr>
          <w:p w14:paraId="73BEE114">
            <w:pPr>
              <w:spacing w:line="360" w:lineRule="auto"/>
              <w:rPr>
                <w:rFonts w:hint="eastAsia" w:ascii="宋体" w:hAnsi="宋体" w:cs="仿宋"/>
                <w:highlight w:val="none"/>
              </w:rPr>
            </w:pPr>
          </w:p>
        </w:tc>
        <w:tc>
          <w:tcPr>
            <w:tcW w:w="2421" w:type="dxa"/>
            <w:noWrap w:val="0"/>
            <w:vAlign w:val="top"/>
          </w:tcPr>
          <w:p w14:paraId="4710BECE">
            <w:pPr>
              <w:spacing w:line="360" w:lineRule="auto"/>
              <w:rPr>
                <w:rFonts w:hint="eastAsia" w:ascii="宋体" w:hAnsi="宋体" w:cs="仿宋"/>
                <w:highlight w:val="none"/>
              </w:rPr>
            </w:pPr>
          </w:p>
        </w:tc>
        <w:tc>
          <w:tcPr>
            <w:tcW w:w="1712" w:type="dxa"/>
            <w:noWrap w:val="0"/>
            <w:vAlign w:val="top"/>
          </w:tcPr>
          <w:p w14:paraId="2787086C">
            <w:pPr>
              <w:spacing w:line="360" w:lineRule="auto"/>
              <w:rPr>
                <w:rFonts w:hint="eastAsia" w:ascii="宋体" w:hAnsi="宋体" w:cs="仿宋"/>
                <w:highlight w:val="none"/>
              </w:rPr>
            </w:pPr>
          </w:p>
        </w:tc>
        <w:tc>
          <w:tcPr>
            <w:tcW w:w="1729" w:type="dxa"/>
            <w:noWrap w:val="0"/>
            <w:vAlign w:val="top"/>
          </w:tcPr>
          <w:p w14:paraId="024EC5CD">
            <w:pPr>
              <w:spacing w:line="360" w:lineRule="auto"/>
              <w:rPr>
                <w:rFonts w:hint="eastAsia" w:ascii="宋体" w:hAnsi="宋体" w:cs="仿宋"/>
                <w:highlight w:val="none"/>
              </w:rPr>
            </w:pPr>
          </w:p>
        </w:tc>
        <w:tc>
          <w:tcPr>
            <w:tcW w:w="1634" w:type="dxa"/>
            <w:gridSpan w:val="2"/>
            <w:noWrap w:val="0"/>
            <w:vAlign w:val="top"/>
          </w:tcPr>
          <w:p w14:paraId="789949BC">
            <w:pPr>
              <w:spacing w:line="360" w:lineRule="auto"/>
              <w:rPr>
                <w:rFonts w:hint="eastAsia" w:ascii="宋体" w:hAnsi="宋体" w:cs="仿宋"/>
                <w:highlight w:val="none"/>
              </w:rPr>
            </w:pPr>
          </w:p>
        </w:tc>
      </w:tr>
      <w:tr w14:paraId="55617E0D">
        <w:trPr>
          <w:trHeight w:val="395" w:hRule="exact"/>
        </w:trPr>
        <w:tc>
          <w:tcPr>
            <w:tcW w:w="1018" w:type="dxa"/>
            <w:noWrap w:val="0"/>
            <w:vAlign w:val="top"/>
          </w:tcPr>
          <w:p w14:paraId="0474ADA2">
            <w:pPr>
              <w:spacing w:line="360" w:lineRule="auto"/>
              <w:rPr>
                <w:rFonts w:hint="eastAsia" w:ascii="宋体" w:hAnsi="宋体" w:cs="仿宋"/>
                <w:highlight w:val="none"/>
              </w:rPr>
            </w:pPr>
          </w:p>
        </w:tc>
        <w:tc>
          <w:tcPr>
            <w:tcW w:w="2421" w:type="dxa"/>
            <w:noWrap w:val="0"/>
            <w:vAlign w:val="top"/>
          </w:tcPr>
          <w:p w14:paraId="121B519F">
            <w:pPr>
              <w:spacing w:line="360" w:lineRule="auto"/>
              <w:rPr>
                <w:rFonts w:hint="eastAsia" w:ascii="宋体" w:hAnsi="宋体" w:cs="仿宋"/>
                <w:highlight w:val="none"/>
              </w:rPr>
            </w:pPr>
          </w:p>
        </w:tc>
        <w:tc>
          <w:tcPr>
            <w:tcW w:w="1712" w:type="dxa"/>
            <w:noWrap w:val="0"/>
            <w:vAlign w:val="top"/>
          </w:tcPr>
          <w:p w14:paraId="02EF134C">
            <w:pPr>
              <w:spacing w:line="360" w:lineRule="auto"/>
              <w:rPr>
                <w:rFonts w:hint="eastAsia" w:ascii="宋体" w:hAnsi="宋体" w:cs="仿宋"/>
                <w:highlight w:val="none"/>
              </w:rPr>
            </w:pPr>
          </w:p>
        </w:tc>
        <w:tc>
          <w:tcPr>
            <w:tcW w:w="1729" w:type="dxa"/>
            <w:noWrap w:val="0"/>
            <w:vAlign w:val="top"/>
          </w:tcPr>
          <w:p w14:paraId="1E77398F">
            <w:pPr>
              <w:spacing w:line="360" w:lineRule="auto"/>
              <w:rPr>
                <w:rFonts w:hint="eastAsia" w:ascii="宋体" w:hAnsi="宋体" w:cs="仿宋"/>
                <w:highlight w:val="none"/>
              </w:rPr>
            </w:pPr>
          </w:p>
        </w:tc>
        <w:tc>
          <w:tcPr>
            <w:tcW w:w="1634" w:type="dxa"/>
            <w:gridSpan w:val="2"/>
            <w:noWrap w:val="0"/>
            <w:vAlign w:val="top"/>
          </w:tcPr>
          <w:p w14:paraId="46D2EFF1">
            <w:pPr>
              <w:spacing w:line="360" w:lineRule="auto"/>
              <w:rPr>
                <w:rFonts w:hint="eastAsia" w:ascii="宋体" w:hAnsi="宋体" w:cs="仿宋"/>
                <w:highlight w:val="none"/>
              </w:rPr>
            </w:pPr>
          </w:p>
        </w:tc>
      </w:tr>
      <w:tr w14:paraId="513BA72C">
        <w:trPr>
          <w:trHeight w:val="395" w:hRule="exact"/>
        </w:trPr>
        <w:tc>
          <w:tcPr>
            <w:tcW w:w="1018" w:type="dxa"/>
            <w:noWrap w:val="0"/>
            <w:vAlign w:val="top"/>
          </w:tcPr>
          <w:p w14:paraId="704924AA">
            <w:pPr>
              <w:spacing w:line="360" w:lineRule="auto"/>
              <w:rPr>
                <w:rFonts w:hint="eastAsia" w:ascii="宋体" w:hAnsi="宋体" w:cs="仿宋"/>
                <w:highlight w:val="none"/>
              </w:rPr>
            </w:pPr>
          </w:p>
        </w:tc>
        <w:tc>
          <w:tcPr>
            <w:tcW w:w="2421" w:type="dxa"/>
            <w:noWrap w:val="0"/>
            <w:vAlign w:val="top"/>
          </w:tcPr>
          <w:p w14:paraId="1C8B6855">
            <w:pPr>
              <w:spacing w:line="360" w:lineRule="auto"/>
              <w:rPr>
                <w:rFonts w:hint="eastAsia" w:ascii="宋体" w:hAnsi="宋体" w:cs="仿宋"/>
                <w:highlight w:val="none"/>
              </w:rPr>
            </w:pPr>
          </w:p>
        </w:tc>
        <w:tc>
          <w:tcPr>
            <w:tcW w:w="1712" w:type="dxa"/>
            <w:noWrap w:val="0"/>
            <w:vAlign w:val="top"/>
          </w:tcPr>
          <w:p w14:paraId="18E943FE">
            <w:pPr>
              <w:spacing w:line="360" w:lineRule="auto"/>
              <w:rPr>
                <w:rFonts w:hint="eastAsia" w:ascii="宋体" w:hAnsi="宋体" w:cs="仿宋"/>
                <w:highlight w:val="none"/>
              </w:rPr>
            </w:pPr>
          </w:p>
        </w:tc>
        <w:tc>
          <w:tcPr>
            <w:tcW w:w="1729" w:type="dxa"/>
            <w:noWrap w:val="0"/>
            <w:vAlign w:val="top"/>
          </w:tcPr>
          <w:p w14:paraId="1F174BF5">
            <w:pPr>
              <w:spacing w:line="360" w:lineRule="auto"/>
              <w:rPr>
                <w:rFonts w:hint="eastAsia" w:ascii="宋体" w:hAnsi="宋体" w:cs="仿宋"/>
                <w:highlight w:val="none"/>
              </w:rPr>
            </w:pPr>
          </w:p>
        </w:tc>
        <w:tc>
          <w:tcPr>
            <w:tcW w:w="1634" w:type="dxa"/>
            <w:gridSpan w:val="2"/>
            <w:noWrap w:val="0"/>
            <w:vAlign w:val="top"/>
          </w:tcPr>
          <w:p w14:paraId="2134C746">
            <w:pPr>
              <w:spacing w:line="360" w:lineRule="auto"/>
              <w:rPr>
                <w:rFonts w:hint="eastAsia" w:ascii="宋体" w:hAnsi="宋体" w:cs="仿宋"/>
                <w:highlight w:val="none"/>
              </w:rPr>
            </w:pPr>
          </w:p>
        </w:tc>
      </w:tr>
      <w:tr w14:paraId="62CCF8CC">
        <w:trPr>
          <w:trHeight w:val="395" w:hRule="exact"/>
        </w:trPr>
        <w:tc>
          <w:tcPr>
            <w:tcW w:w="1018" w:type="dxa"/>
            <w:noWrap w:val="0"/>
            <w:vAlign w:val="top"/>
          </w:tcPr>
          <w:p w14:paraId="74D78CCA">
            <w:pPr>
              <w:spacing w:line="360" w:lineRule="auto"/>
              <w:rPr>
                <w:rFonts w:hint="eastAsia" w:ascii="宋体" w:hAnsi="宋体" w:cs="仿宋"/>
                <w:highlight w:val="none"/>
              </w:rPr>
            </w:pPr>
          </w:p>
          <w:p w14:paraId="66CE6B3F">
            <w:pPr>
              <w:spacing w:line="360" w:lineRule="auto"/>
              <w:rPr>
                <w:rFonts w:hint="eastAsia" w:ascii="宋体" w:hAnsi="宋体" w:cs="仿宋"/>
                <w:highlight w:val="none"/>
              </w:rPr>
            </w:pPr>
          </w:p>
        </w:tc>
        <w:tc>
          <w:tcPr>
            <w:tcW w:w="2421" w:type="dxa"/>
            <w:noWrap w:val="0"/>
            <w:vAlign w:val="top"/>
          </w:tcPr>
          <w:p w14:paraId="4FEB76E3">
            <w:pPr>
              <w:spacing w:line="360" w:lineRule="auto"/>
              <w:rPr>
                <w:rFonts w:hint="eastAsia" w:ascii="宋体" w:hAnsi="宋体" w:cs="仿宋"/>
                <w:highlight w:val="none"/>
              </w:rPr>
            </w:pPr>
          </w:p>
        </w:tc>
        <w:tc>
          <w:tcPr>
            <w:tcW w:w="1712" w:type="dxa"/>
            <w:noWrap w:val="0"/>
            <w:vAlign w:val="top"/>
          </w:tcPr>
          <w:p w14:paraId="2C33E6A2">
            <w:pPr>
              <w:spacing w:line="360" w:lineRule="auto"/>
              <w:rPr>
                <w:rFonts w:hint="eastAsia" w:ascii="宋体" w:hAnsi="宋体" w:cs="仿宋"/>
                <w:highlight w:val="none"/>
              </w:rPr>
            </w:pPr>
          </w:p>
        </w:tc>
        <w:tc>
          <w:tcPr>
            <w:tcW w:w="1729" w:type="dxa"/>
            <w:noWrap w:val="0"/>
            <w:vAlign w:val="top"/>
          </w:tcPr>
          <w:p w14:paraId="71F60A4B">
            <w:pPr>
              <w:spacing w:line="360" w:lineRule="auto"/>
              <w:rPr>
                <w:rFonts w:hint="eastAsia" w:ascii="宋体" w:hAnsi="宋体" w:cs="仿宋"/>
                <w:highlight w:val="none"/>
              </w:rPr>
            </w:pPr>
          </w:p>
        </w:tc>
        <w:tc>
          <w:tcPr>
            <w:tcW w:w="1634" w:type="dxa"/>
            <w:gridSpan w:val="2"/>
            <w:noWrap w:val="0"/>
            <w:vAlign w:val="top"/>
          </w:tcPr>
          <w:p w14:paraId="27001F64">
            <w:pPr>
              <w:spacing w:line="360" w:lineRule="auto"/>
              <w:rPr>
                <w:rFonts w:hint="eastAsia" w:ascii="宋体" w:hAnsi="宋体" w:cs="仿宋"/>
                <w:highlight w:val="none"/>
              </w:rPr>
            </w:pPr>
          </w:p>
        </w:tc>
      </w:tr>
      <w:tr w14:paraId="440FCB49">
        <w:trPr>
          <w:trHeight w:val="395" w:hRule="exact"/>
        </w:trPr>
        <w:tc>
          <w:tcPr>
            <w:tcW w:w="1018" w:type="dxa"/>
            <w:noWrap w:val="0"/>
            <w:vAlign w:val="top"/>
          </w:tcPr>
          <w:p w14:paraId="6AAF793A">
            <w:pPr>
              <w:spacing w:line="360" w:lineRule="auto"/>
              <w:rPr>
                <w:rFonts w:hint="eastAsia" w:ascii="宋体" w:hAnsi="宋体" w:cs="仿宋"/>
                <w:highlight w:val="none"/>
              </w:rPr>
            </w:pPr>
          </w:p>
        </w:tc>
        <w:tc>
          <w:tcPr>
            <w:tcW w:w="2421" w:type="dxa"/>
            <w:noWrap w:val="0"/>
            <w:vAlign w:val="top"/>
          </w:tcPr>
          <w:p w14:paraId="39280FF3">
            <w:pPr>
              <w:spacing w:line="360" w:lineRule="auto"/>
              <w:rPr>
                <w:rFonts w:hint="eastAsia" w:ascii="宋体" w:hAnsi="宋体" w:cs="仿宋"/>
                <w:highlight w:val="none"/>
              </w:rPr>
            </w:pPr>
          </w:p>
        </w:tc>
        <w:tc>
          <w:tcPr>
            <w:tcW w:w="1712" w:type="dxa"/>
            <w:noWrap w:val="0"/>
            <w:vAlign w:val="top"/>
          </w:tcPr>
          <w:p w14:paraId="2A581137">
            <w:pPr>
              <w:spacing w:line="360" w:lineRule="auto"/>
              <w:rPr>
                <w:rFonts w:hint="eastAsia" w:ascii="宋体" w:hAnsi="宋体" w:cs="仿宋"/>
                <w:highlight w:val="none"/>
              </w:rPr>
            </w:pPr>
          </w:p>
        </w:tc>
        <w:tc>
          <w:tcPr>
            <w:tcW w:w="1729" w:type="dxa"/>
            <w:noWrap w:val="0"/>
            <w:vAlign w:val="top"/>
          </w:tcPr>
          <w:p w14:paraId="348B11BD">
            <w:pPr>
              <w:spacing w:line="360" w:lineRule="auto"/>
              <w:rPr>
                <w:rFonts w:hint="eastAsia" w:ascii="宋体" w:hAnsi="宋体" w:cs="仿宋"/>
                <w:highlight w:val="none"/>
              </w:rPr>
            </w:pPr>
          </w:p>
        </w:tc>
        <w:tc>
          <w:tcPr>
            <w:tcW w:w="1634" w:type="dxa"/>
            <w:gridSpan w:val="2"/>
            <w:noWrap w:val="0"/>
            <w:vAlign w:val="top"/>
          </w:tcPr>
          <w:p w14:paraId="7413BC0F">
            <w:pPr>
              <w:spacing w:line="360" w:lineRule="auto"/>
              <w:rPr>
                <w:rFonts w:hint="eastAsia" w:ascii="宋体" w:hAnsi="宋体" w:cs="仿宋"/>
                <w:highlight w:val="none"/>
              </w:rPr>
            </w:pPr>
          </w:p>
        </w:tc>
      </w:tr>
      <w:tr w14:paraId="6FD2615B">
        <w:trPr>
          <w:trHeight w:val="395" w:hRule="exact"/>
        </w:trPr>
        <w:tc>
          <w:tcPr>
            <w:tcW w:w="1018" w:type="dxa"/>
            <w:noWrap w:val="0"/>
            <w:vAlign w:val="top"/>
          </w:tcPr>
          <w:p w14:paraId="7AFC7CA8">
            <w:pPr>
              <w:spacing w:line="360" w:lineRule="auto"/>
              <w:rPr>
                <w:rFonts w:hint="eastAsia" w:ascii="宋体" w:hAnsi="宋体" w:cs="仿宋"/>
                <w:highlight w:val="none"/>
              </w:rPr>
            </w:pPr>
          </w:p>
        </w:tc>
        <w:tc>
          <w:tcPr>
            <w:tcW w:w="2421" w:type="dxa"/>
            <w:noWrap w:val="0"/>
            <w:vAlign w:val="top"/>
          </w:tcPr>
          <w:p w14:paraId="457B665E">
            <w:pPr>
              <w:spacing w:line="360" w:lineRule="auto"/>
              <w:rPr>
                <w:rFonts w:hint="eastAsia" w:ascii="宋体" w:hAnsi="宋体" w:cs="仿宋"/>
                <w:highlight w:val="none"/>
              </w:rPr>
            </w:pPr>
          </w:p>
        </w:tc>
        <w:tc>
          <w:tcPr>
            <w:tcW w:w="1712" w:type="dxa"/>
            <w:noWrap w:val="0"/>
            <w:vAlign w:val="top"/>
          </w:tcPr>
          <w:p w14:paraId="7542D159">
            <w:pPr>
              <w:spacing w:line="360" w:lineRule="auto"/>
              <w:rPr>
                <w:rFonts w:hint="eastAsia" w:ascii="宋体" w:hAnsi="宋体" w:cs="仿宋"/>
                <w:highlight w:val="none"/>
              </w:rPr>
            </w:pPr>
          </w:p>
        </w:tc>
        <w:tc>
          <w:tcPr>
            <w:tcW w:w="1729" w:type="dxa"/>
            <w:noWrap w:val="0"/>
            <w:vAlign w:val="top"/>
          </w:tcPr>
          <w:p w14:paraId="1A43AF97">
            <w:pPr>
              <w:spacing w:line="360" w:lineRule="auto"/>
              <w:rPr>
                <w:rFonts w:hint="eastAsia" w:ascii="宋体" w:hAnsi="宋体" w:cs="仿宋"/>
                <w:highlight w:val="none"/>
              </w:rPr>
            </w:pPr>
          </w:p>
        </w:tc>
        <w:tc>
          <w:tcPr>
            <w:tcW w:w="1634" w:type="dxa"/>
            <w:gridSpan w:val="2"/>
            <w:noWrap w:val="0"/>
            <w:vAlign w:val="top"/>
          </w:tcPr>
          <w:p w14:paraId="26D786A8">
            <w:pPr>
              <w:spacing w:line="360" w:lineRule="auto"/>
              <w:rPr>
                <w:rFonts w:hint="eastAsia" w:ascii="宋体" w:hAnsi="宋体" w:cs="仿宋"/>
                <w:highlight w:val="none"/>
              </w:rPr>
            </w:pPr>
          </w:p>
        </w:tc>
      </w:tr>
      <w:tr w14:paraId="44E260C4">
        <w:trPr>
          <w:trHeight w:val="395" w:hRule="exact"/>
        </w:trPr>
        <w:tc>
          <w:tcPr>
            <w:tcW w:w="1018" w:type="dxa"/>
            <w:noWrap w:val="0"/>
            <w:vAlign w:val="top"/>
          </w:tcPr>
          <w:p w14:paraId="5DCF42CB">
            <w:pPr>
              <w:spacing w:line="360" w:lineRule="auto"/>
              <w:rPr>
                <w:rFonts w:hint="eastAsia" w:ascii="宋体" w:hAnsi="宋体" w:cs="仿宋"/>
                <w:highlight w:val="none"/>
              </w:rPr>
            </w:pPr>
          </w:p>
        </w:tc>
        <w:tc>
          <w:tcPr>
            <w:tcW w:w="2421" w:type="dxa"/>
            <w:noWrap w:val="0"/>
            <w:vAlign w:val="top"/>
          </w:tcPr>
          <w:p w14:paraId="73D4A4FE">
            <w:pPr>
              <w:spacing w:line="360" w:lineRule="auto"/>
              <w:rPr>
                <w:rFonts w:hint="eastAsia" w:ascii="宋体" w:hAnsi="宋体" w:cs="仿宋"/>
                <w:highlight w:val="none"/>
              </w:rPr>
            </w:pPr>
          </w:p>
        </w:tc>
        <w:tc>
          <w:tcPr>
            <w:tcW w:w="1712" w:type="dxa"/>
            <w:noWrap w:val="0"/>
            <w:vAlign w:val="top"/>
          </w:tcPr>
          <w:p w14:paraId="0111EEA1">
            <w:pPr>
              <w:spacing w:line="360" w:lineRule="auto"/>
              <w:rPr>
                <w:rFonts w:hint="eastAsia" w:ascii="宋体" w:hAnsi="宋体" w:cs="仿宋"/>
                <w:highlight w:val="none"/>
              </w:rPr>
            </w:pPr>
          </w:p>
        </w:tc>
        <w:tc>
          <w:tcPr>
            <w:tcW w:w="1729" w:type="dxa"/>
            <w:noWrap w:val="0"/>
            <w:vAlign w:val="top"/>
          </w:tcPr>
          <w:p w14:paraId="1A85BDCF">
            <w:pPr>
              <w:spacing w:line="360" w:lineRule="auto"/>
              <w:rPr>
                <w:rFonts w:hint="eastAsia" w:ascii="宋体" w:hAnsi="宋体" w:cs="仿宋"/>
                <w:highlight w:val="none"/>
              </w:rPr>
            </w:pPr>
          </w:p>
        </w:tc>
        <w:tc>
          <w:tcPr>
            <w:tcW w:w="1634" w:type="dxa"/>
            <w:gridSpan w:val="2"/>
            <w:noWrap w:val="0"/>
            <w:vAlign w:val="top"/>
          </w:tcPr>
          <w:p w14:paraId="03097770">
            <w:pPr>
              <w:spacing w:line="360" w:lineRule="auto"/>
              <w:rPr>
                <w:rFonts w:hint="eastAsia" w:ascii="宋体" w:hAnsi="宋体" w:cs="仿宋"/>
                <w:highlight w:val="none"/>
              </w:rPr>
            </w:pPr>
          </w:p>
        </w:tc>
      </w:tr>
      <w:tr w14:paraId="350956D4">
        <w:trPr>
          <w:trHeight w:val="395" w:hRule="exact"/>
        </w:trPr>
        <w:tc>
          <w:tcPr>
            <w:tcW w:w="1018" w:type="dxa"/>
            <w:noWrap w:val="0"/>
            <w:vAlign w:val="top"/>
          </w:tcPr>
          <w:p w14:paraId="0F99C6C6">
            <w:pPr>
              <w:spacing w:line="360" w:lineRule="auto"/>
              <w:rPr>
                <w:rFonts w:hint="eastAsia" w:ascii="宋体" w:hAnsi="宋体" w:cs="仿宋"/>
                <w:highlight w:val="none"/>
              </w:rPr>
            </w:pPr>
          </w:p>
        </w:tc>
        <w:tc>
          <w:tcPr>
            <w:tcW w:w="2421" w:type="dxa"/>
            <w:noWrap w:val="0"/>
            <w:vAlign w:val="top"/>
          </w:tcPr>
          <w:p w14:paraId="467B1377">
            <w:pPr>
              <w:spacing w:line="360" w:lineRule="auto"/>
              <w:rPr>
                <w:rFonts w:hint="eastAsia" w:ascii="宋体" w:hAnsi="宋体" w:cs="仿宋"/>
                <w:highlight w:val="none"/>
              </w:rPr>
            </w:pPr>
          </w:p>
        </w:tc>
        <w:tc>
          <w:tcPr>
            <w:tcW w:w="1712" w:type="dxa"/>
            <w:noWrap w:val="0"/>
            <w:vAlign w:val="top"/>
          </w:tcPr>
          <w:p w14:paraId="13A82BD9">
            <w:pPr>
              <w:spacing w:line="360" w:lineRule="auto"/>
              <w:rPr>
                <w:rFonts w:hint="eastAsia" w:ascii="宋体" w:hAnsi="宋体" w:cs="仿宋"/>
                <w:highlight w:val="none"/>
              </w:rPr>
            </w:pPr>
          </w:p>
        </w:tc>
        <w:tc>
          <w:tcPr>
            <w:tcW w:w="1729" w:type="dxa"/>
            <w:noWrap w:val="0"/>
            <w:vAlign w:val="top"/>
          </w:tcPr>
          <w:p w14:paraId="092172A8">
            <w:pPr>
              <w:spacing w:line="360" w:lineRule="auto"/>
              <w:rPr>
                <w:rFonts w:hint="eastAsia" w:ascii="宋体" w:hAnsi="宋体" w:cs="仿宋"/>
                <w:highlight w:val="none"/>
              </w:rPr>
            </w:pPr>
          </w:p>
        </w:tc>
        <w:tc>
          <w:tcPr>
            <w:tcW w:w="1634" w:type="dxa"/>
            <w:gridSpan w:val="2"/>
            <w:noWrap w:val="0"/>
            <w:vAlign w:val="top"/>
          </w:tcPr>
          <w:p w14:paraId="6D4441EF">
            <w:pPr>
              <w:spacing w:line="360" w:lineRule="auto"/>
              <w:rPr>
                <w:rFonts w:hint="eastAsia" w:ascii="宋体" w:hAnsi="宋体" w:cs="仿宋"/>
                <w:highlight w:val="none"/>
              </w:rPr>
            </w:pPr>
          </w:p>
        </w:tc>
      </w:tr>
      <w:tr w14:paraId="15319226">
        <w:trPr>
          <w:trHeight w:val="395" w:hRule="exact"/>
        </w:trPr>
        <w:tc>
          <w:tcPr>
            <w:tcW w:w="1018" w:type="dxa"/>
            <w:noWrap w:val="0"/>
            <w:vAlign w:val="top"/>
          </w:tcPr>
          <w:p w14:paraId="0E66FF72">
            <w:pPr>
              <w:spacing w:line="360" w:lineRule="auto"/>
              <w:rPr>
                <w:rFonts w:hint="eastAsia" w:ascii="宋体" w:hAnsi="宋体" w:cs="仿宋"/>
                <w:highlight w:val="none"/>
              </w:rPr>
            </w:pPr>
          </w:p>
        </w:tc>
        <w:tc>
          <w:tcPr>
            <w:tcW w:w="2421" w:type="dxa"/>
            <w:noWrap w:val="0"/>
            <w:vAlign w:val="top"/>
          </w:tcPr>
          <w:p w14:paraId="7A6A651E">
            <w:pPr>
              <w:spacing w:line="360" w:lineRule="auto"/>
              <w:rPr>
                <w:rFonts w:hint="eastAsia" w:ascii="宋体" w:hAnsi="宋体" w:cs="仿宋"/>
                <w:highlight w:val="none"/>
              </w:rPr>
            </w:pPr>
          </w:p>
        </w:tc>
        <w:tc>
          <w:tcPr>
            <w:tcW w:w="1712" w:type="dxa"/>
            <w:noWrap w:val="0"/>
            <w:vAlign w:val="top"/>
          </w:tcPr>
          <w:p w14:paraId="3C034E97">
            <w:pPr>
              <w:spacing w:line="360" w:lineRule="auto"/>
              <w:rPr>
                <w:rFonts w:hint="eastAsia" w:ascii="宋体" w:hAnsi="宋体" w:cs="仿宋"/>
                <w:highlight w:val="none"/>
              </w:rPr>
            </w:pPr>
          </w:p>
        </w:tc>
        <w:tc>
          <w:tcPr>
            <w:tcW w:w="1729" w:type="dxa"/>
            <w:noWrap w:val="0"/>
            <w:vAlign w:val="top"/>
          </w:tcPr>
          <w:p w14:paraId="064593AB">
            <w:pPr>
              <w:spacing w:line="360" w:lineRule="auto"/>
              <w:rPr>
                <w:rFonts w:hint="eastAsia" w:ascii="宋体" w:hAnsi="宋体" w:cs="仿宋"/>
                <w:highlight w:val="none"/>
              </w:rPr>
            </w:pPr>
          </w:p>
        </w:tc>
        <w:tc>
          <w:tcPr>
            <w:tcW w:w="1634" w:type="dxa"/>
            <w:gridSpan w:val="2"/>
            <w:noWrap w:val="0"/>
            <w:vAlign w:val="top"/>
          </w:tcPr>
          <w:p w14:paraId="6D8AB1C2">
            <w:pPr>
              <w:spacing w:line="360" w:lineRule="auto"/>
              <w:rPr>
                <w:rFonts w:hint="eastAsia" w:ascii="宋体" w:hAnsi="宋体" w:cs="仿宋"/>
                <w:highlight w:val="none"/>
              </w:rPr>
            </w:pPr>
          </w:p>
        </w:tc>
      </w:tr>
      <w:tr w14:paraId="75E2A956">
        <w:trPr>
          <w:trHeight w:val="395" w:hRule="exact"/>
        </w:trPr>
        <w:tc>
          <w:tcPr>
            <w:tcW w:w="1018" w:type="dxa"/>
            <w:noWrap w:val="0"/>
            <w:vAlign w:val="top"/>
          </w:tcPr>
          <w:p w14:paraId="19E4BFB7">
            <w:pPr>
              <w:spacing w:line="360" w:lineRule="auto"/>
              <w:rPr>
                <w:rFonts w:hint="eastAsia" w:ascii="宋体" w:hAnsi="宋体" w:cs="仿宋"/>
                <w:highlight w:val="none"/>
              </w:rPr>
            </w:pPr>
          </w:p>
        </w:tc>
        <w:tc>
          <w:tcPr>
            <w:tcW w:w="2421" w:type="dxa"/>
            <w:noWrap w:val="0"/>
            <w:vAlign w:val="top"/>
          </w:tcPr>
          <w:p w14:paraId="42CA28ED">
            <w:pPr>
              <w:spacing w:line="360" w:lineRule="auto"/>
              <w:rPr>
                <w:rFonts w:hint="eastAsia" w:ascii="宋体" w:hAnsi="宋体" w:cs="仿宋"/>
                <w:highlight w:val="none"/>
              </w:rPr>
            </w:pPr>
          </w:p>
        </w:tc>
        <w:tc>
          <w:tcPr>
            <w:tcW w:w="1712" w:type="dxa"/>
            <w:noWrap w:val="0"/>
            <w:vAlign w:val="top"/>
          </w:tcPr>
          <w:p w14:paraId="5C9894B2">
            <w:pPr>
              <w:spacing w:line="360" w:lineRule="auto"/>
              <w:rPr>
                <w:rFonts w:hint="eastAsia" w:ascii="宋体" w:hAnsi="宋体" w:cs="仿宋"/>
                <w:highlight w:val="none"/>
              </w:rPr>
            </w:pPr>
          </w:p>
        </w:tc>
        <w:tc>
          <w:tcPr>
            <w:tcW w:w="1729" w:type="dxa"/>
            <w:noWrap w:val="0"/>
            <w:vAlign w:val="top"/>
          </w:tcPr>
          <w:p w14:paraId="78C03DCF">
            <w:pPr>
              <w:spacing w:line="360" w:lineRule="auto"/>
              <w:rPr>
                <w:rFonts w:hint="eastAsia" w:ascii="宋体" w:hAnsi="宋体" w:cs="仿宋"/>
                <w:highlight w:val="none"/>
              </w:rPr>
            </w:pPr>
          </w:p>
        </w:tc>
        <w:tc>
          <w:tcPr>
            <w:tcW w:w="1634" w:type="dxa"/>
            <w:gridSpan w:val="2"/>
            <w:noWrap w:val="0"/>
            <w:vAlign w:val="top"/>
          </w:tcPr>
          <w:p w14:paraId="3D3323D9">
            <w:pPr>
              <w:spacing w:line="360" w:lineRule="auto"/>
              <w:rPr>
                <w:rFonts w:hint="eastAsia" w:ascii="宋体" w:hAnsi="宋体" w:cs="仿宋"/>
                <w:highlight w:val="none"/>
              </w:rPr>
            </w:pPr>
          </w:p>
        </w:tc>
      </w:tr>
      <w:tr w14:paraId="1870BDC2">
        <w:trPr>
          <w:trHeight w:val="395" w:hRule="exact"/>
        </w:trPr>
        <w:tc>
          <w:tcPr>
            <w:tcW w:w="1018" w:type="dxa"/>
            <w:noWrap w:val="0"/>
            <w:vAlign w:val="top"/>
          </w:tcPr>
          <w:p w14:paraId="2818FFD3">
            <w:pPr>
              <w:spacing w:line="360" w:lineRule="auto"/>
              <w:rPr>
                <w:rFonts w:hint="eastAsia" w:ascii="宋体" w:hAnsi="宋体" w:cs="仿宋"/>
                <w:highlight w:val="none"/>
              </w:rPr>
            </w:pPr>
          </w:p>
        </w:tc>
        <w:tc>
          <w:tcPr>
            <w:tcW w:w="2421" w:type="dxa"/>
            <w:noWrap w:val="0"/>
            <w:vAlign w:val="top"/>
          </w:tcPr>
          <w:p w14:paraId="7330A470">
            <w:pPr>
              <w:spacing w:line="360" w:lineRule="auto"/>
              <w:rPr>
                <w:rFonts w:hint="eastAsia" w:ascii="宋体" w:hAnsi="宋体" w:cs="仿宋"/>
                <w:highlight w:val="none"/>
              </w:rPr>
            </w:pPr>
          </w:p>
        </w:tc>
        <w:tc>
          <w:tcPr>
            <w:tcW w:w="1712" w:type="dxa"/>
            <w:noWrap w:val="0"/>
            <w:vAlign w:val="top"/>
          </w:tcPr>
          <w:p w14:paraId="07BB7B5A">
            <w:pPr>
              <w:spacing w:line="360" w:lineRule="auto"/>
              <w:rPr>
                <w:rFonts w:hint="eastAsia" w:ascii="宋体" w:hAnsi="宋体" w:cs="仿宋"/>
                <w:highlight w:val="none"/>
              </w:rPr>
            </w:pPr>
          </w:p>
        </w:tc>
        <w:tc>
          <w:tcPr>
            <w:tcW w:w="1729" w:type="dxa"/>
            <w:noWrap w:val="0"/>
            <w:vAlign w:val="top"/>
          </w:tcPr>
          <w:p w14:paraId="0D635829">
            <w:pPr>
              <w:spacing w:line="360" w:lineRule="auto"/>
              <w:rPr>
                <w:rFonts w:hint="eastAsia" w:ascii="宋体" w:hAnsi="宋体" w:cs="仿宋"/>
                <w:highlight w:val="none"/>
              </w:rPr>
            </w:pPr>
          </w:p>
        </w:tc>
        <w:tc>
          <w:tcPr>
            <w:tcW w:w="1634" w:type="dxa"/>
            <w:gridSpan w:val="2"/>
            <w:noWrap w:val="0"/>
            <w:vAlign w:val="top"/>
          </w:tcPr>
          <w:p w14:paraId="61C0D9A7">
            <w:pPr>
              <w:spacing w:line="360" w:lineRule="auto"/>
              <w:rPr>
                <w:rFonts w:hint="eastAsia" w:ascii="宋体" w:hAnsi="宋体" w:cs="仿宋"/>
                <w:highlight w:val="none"/>
              </w:rPr>
            </w:pPr>
          </w:p>
        </w:tc>
      </w:tr>
      <w:tr w14:paraId="5E98006F">
        <w:trPr>
          <w:trHeight w:val="395" w:hRule="exact"/>
        </w:trPr>
        <w:tc>
          <w:tcPr>
            <w:tcW w:w="1018" w:type="dxa"/>
            <w:noWrap w:val="0"/>
            <w:vAlign w:val="top"/>
          </w:tcPr>
          <w:p w14:paraId="7D2B6D92">
            <w:pPr>
              <w:spacing w:line="360" w:lineRule="auto"/>
              <w:rPr>
                <w:rFonts w:hint="eastAsia" w:ascii="宋体" w:hAnsi="宋体" w:cs="仿宋"/>
                <w:highlight w:val="none"/>
              </w:rPr>
            </w:pPr>
          </w:p>
          <w:p w14:paraId="59E2C1F6">
            <w:pPr>
              <w:spacing w:line="360" w:lineRule="auto"/>
              <w:rPr>
                <w:rFonts w:hint="eastAsia" w:ascii="宋体" w:hAnsi="宋体" w:cs="仿宋"/>
                <w:highlight w:val="none"/>
              </w:rPr>
            </w:pPr>
          </w:p>
        </w:tc>
        <w:tc>
          <w:tcPr>
            <w:tcW w:w="2421" w:type="dxa"/>
            <w:noWrap w:val="0"/>
            <w:vAlign w:val="top"/>
          </w:tcPr>
          <w:p w14:paraId="7534EE6E">
            <w:pPr>
              <w:spacing w:line="360" w:lineRule="auto"/>
              <w:rPr>
                <w:rFonts w:hint="eastAsia" w:ascii="宋体" w:hAnsi="宋体" w:cs="仿宋"/>
                <w:highlight w:val="none"/>
              </w:rPr>
            </w:pPr>
          </w:p>
        </w:tc>
        <w:tc>
          <w:tcPr>
            <w:tcW w:w="1712" w:type="dxa"/>
            <w:noWrap w:val="0"/>
            <w:vAlign w:val="top"/>
          </w:tcPr>
          <w:p w14:paraId="63B1A224">
            <w:pPr>
              <w:spacing w:line="360" w:lineRule="auto"/>
              <w:rPr>
                <w:rFonts w:hint="eastAsia" w:ascii="宋体" w:hAnsi="宋体" w:cs="仿宋"/>
                <w:highlight w:val="none"/>
              </w:rPr>
            </w:pPr>
          </w:p>
        </w:tc>
        <w:tc>
          <w:tcPr>
            <w:tcW w:w="1729" w:type="dxa"/>
            <w:noWrap w:val="0"/>
            <w:vAlign w:val="top"/>
          </w:tcPr>
          <w:p w14:paraId="50FD4BC5">
            <w:pPr>
              <w:spacing w:line="360" w:lineRule="auto"/>
              <w:rPr>
                <w:rFonts w:hint="eastAsia" w:ascii="宋体" w:hAnsi="宋体" w:cs="仿宋"/>
                <w:highlight w:val="none"/>
              </w:rPr>
            </w:pPr>
          </w:p>
        </w:tc>
        <w:tc>
          <w:tcPr>
            <w:tcW w:w="1634" w:type="dxa"/>
            <w:gridSpan w:val="2"/>
            <w:noWrap w:val="0"/>
            <w:vAlign w:val="top"/>
          </w:tcPr>
          <w:p w14:paraId="50D80A65">
            <w:pPr>
              <w:spacing w:line="360" w:lineRule="auto"/>
              <w:rPr>
                <w:rFonts w:hint="eastAsia" w:ascii="宋体" w:hAnsi="宋体" w:cs="仿宋"/>
                <w:highlight w:val="none"/>
              </w:rPr>
            </w:pPr>
          </w:p>
        </w:tc>
      </w:tr>
      <w:tr w14:paraId="18FCFBA4">
        <w:trPr>
          <w:trHeight w:val="395" w:hRule="exact"/>
        </w:trPr>
        <w:tc>
          <w:tcPr>
            <w:tcW w:w="1018" w:type="dxa"/>
            <w:noWrap w:val="0"/>
            <w:vAlign w:val="top"/>
          </w:tcPr>
          <w:p w14:paraId="2D2F05D2">
            <w:pPr>
              <w:spacing w:line="360" w:lineRule="auto"/>
              <w:rPr>
                <w:rFonts w:hint="eastAsia" w:ascii="宋体" w:hAnsi="宋体" w:cs="仿宋"/>
                <w:highlight w:val="none"/>
              </w:rPr>
            </w:pPr>
          </w:p>
        </w:tc>
        <w:tc>
          <w:tcPr>
            <w:tcW w:w="2421" w:type="dxa"/>
            <w:noWrap w:val="0"/>
            <w:vAlign w:val="top"/>
          </w:tcPr>
          <w:p w14:paraId="0881CFC6">
            <w:pPr>
              <w:spacing w:line="360" w:lineRule="auto"/>
              <w:rPr>
                <w:rFonts w:hint="eastAsia" w:ascii="宋体" w:hAnsi="宋体" w:cs="仿宋"/>
                <w:highlight w:val="none"/>
              </w:rPr>
            </w:pPr>
          </w:p>
        </w:tc>
        <w:tc>
          <w:tcPr>
            <w:tcW w:w="1712" w:type="dxa"/>
            <w:noWrap w:val="0"/>
            <w:vAlign w:val="top"/>
          </w:tcPr>
          <w:p w14:paraId="1B310446">
            <w:pPr>
              <w:spacing w:line="360" w:lineRule="auto"/>
              <w:rPr>
                <w:rFonts w:hint="eastAsia" w:ascii="宋体" w:hAnsi="宋体" w:cs="仿宋"/>
                <w:highlight w:val="none"/>
              </w:rPr>
            </w:pPr>
          </w:p>
        </w:tc>
        <w:tc>
          <w:tcPr>
            <w:tcW w:w="1729" w:type="dxa"/>
            <w:noWrap w:val="0"/>
            <w:vAlign w:val="top"/>
          </w:tcPr>
          <w:p w14:paraId="2179DE1E">
            <w:pPr>
              <w:spacing w:line="360" w:lineRule="auto"/>
              <w:rPr>
                <w:rFonts w:hint="eastAsia" w:ascii="宋体" w:hAnsi="宋体" w:cs="仿宋"/>
                <w:highlight w:val="none"/>
              </w:rPr>
            </w:pPr>
          </w:p>
        </w:tc>
        <w:tc>
          <w:tcPr>
            <w:tcW w:w="1634" w:type="dxa"/>
            <w:gridSpan w:val="2"/>
            <w:noWrap w:val="0"/>
            <w:vAlign w:val="top"/>
          </w:tcPr>
          <w:p w14:paraId="352E62BD">
            <w:pPr>
              <w:spacing w:line="360" w:lineRule="auto"/>
              <w:rPr>
                <w:rFonts w:hint="eastAsia" w:ascii="宋体" w:hAnsi="宋体" w:cs="仿宋"/>
                <w:highlight w:val="none"/>
              </w:rPr>
            </w:pPr>
          </w:p>
        </w:tc>
      </w:tr>
      <w:tr w14:paraId="4AD38E4C">
        <w:trPr>
          <w:trHeight w:val="395" w:hRule="exact"/>
        </w:trPr>
        <w:tc>
          <w:tcPr>
            <w:tcW w:w="1018" w:type="dxa"/>
            <w:noWrap w:val="0"/>
            <w:vAlign w:val="top"/>
          </w:tcPr>
          <w:p w14:paraId="5FF52A82">
            <w:pPr>
              <w:spacing w:line="360" w:lineRule="auto"/>
              <w:rPr>
                <w:rFonts w:hint="eastAsia" w:ascii="宋体" w:hAnsi="宋体" w:cs="仿宋"/>
                <w:highlight w:val="none"/>
              </w:rPr>
            </w:pPr>
          </w:p>
        </w:tc>
        <w:tc>
          <w:tcPr>
            <w:tcW w:w="2421" w:type="dxa"/>
            <w:noWrap w:val="0"/>
            <w:vAlign w:val="top"/>
          </w:tcPr>
          <w:p w14:paraId="54095925">
            <w:pPr>
              <w:spacing w:line="360" w:lineRule="auto"/>
              <w:rPr>
                <w:rFonts w:hint="eastAsia" w:ascii="宋体" w:hAnsi="宋体" w:cs="仿宋"/>
                <w:highlight w:val="none"/>
              </w:rPr>
            </w:pPr>
          </w:p>
        </w:tc>
        <w:tc>
          <w:tcPr>
            <w:tcW w:w="1712" w:type="dxa"/>
            <w:noWrap w:val="0"/>
            <w:vAlign w:val="top"/>
          </w:tcPr>
          <w:p w14:paraId="688878ED">
            <w:pPr>
              <w:spacing w:line="360" w:lineRule="auto"/>
              <w:rPr>
                <w:rFonts w:hint="eastAsia" w:ascii="宋体" w:hAnsi="宋体" w:cs="仿宋"/>
                <w:highlight w:val="none"/>
              </w:rPr>
            </w:pPr>
          </w:p>
        </w:tc>
        <w:tc>
          <w:tcPr>
            <w:tcW w:w="1729" w:type="dxa"/>
            <w:noWrap w:val="0"/>
            <w:vAlign w:val="top"/>
          </w:tcPr>
          <w:p w14:paraId="6FE10FAB">
            <w:pPr>
              <w:spacing w:line="360" w:lineRule="auto"/>
              <w:rPr>
                <w:rFonts w:hint="eastAsia" w:ascii="宋体" w:hAnsi="宋体" w:cs="仿宋"/>
                <w:highlight w:val="none"/>
              </w:rPr>
            </w:pPr>
          </w:p>
        </w:tc>
        <w:tc>
          <w:tcPr>
            <w:tcW w:w="1634" w:type="dxa"/>
            <w:gridSpan w:val="2"/>
            <w:noWrap w:val="0"/>
            <w:vAlign w:val="top"/>
          </w:tcPr>
          <w:p w14:paraId="78C8ACFA">
            <w:pPr>
              <w:spacing w:line="360" w:lineRule="auto"/>
              <w:rPr>
                <w:rFonts w:hint="eastAsia" w:ascii="宋体" w:hAnsi="宋体" w:cs="仿宋"/>
                <w:highlight w:val="none"/>
              </w:rPr>
            </w:pPr>
          </w:p>
        </w:tc>
      </w:tr>
    </w:tbl>
    <w:p w14:paraId="2AE6C33A">
      <w:pPr>
        <w:pStyle w:val="19"/>
        <w:widowControl/>
        <w:ind w:left="964" w:leftChars="0" w:hanging="482" w:firstLineChars="0"/>
        <w:rPr>
          <w:highlight w:val="none"/>
        </w:rPr>
      </w:pPr>
      <w:r>
        <w:rPr>
          <w:highlight w:val="none"/>
        </w:rPr>
        <w:t>注：①比选申请人根据自身实际情况填写，对不涉及的内容可填写“/”。</w:t>
      </w:r>
    </w:p>
    <w:p w14:paraId="17A980A9">
      <w:pPr>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highlight w:val="none"/>
        </w:rPr>
        <w:t>比选申请人</w:t>
      </w:r>
      <w:r>
        <w:rPr>
          <w:rFonts w:hint="eastAsia" w:ascii="Times New Roman" w:hAnsi="Times New Roman" w:eastAsia="宋体" w:cs="Times New Roman"/>
          <w:sz w:val="24"/>
          <w:szCs w:val="21"/>
          <w:highlight w:val="none"/>
        </w:rPr>
        <w:t>：</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（盖单位章）</w:t>
      </w:r>
      <w:r>
        <w:rPr>
          <w:rFonts w:hint="eastAsia" w:ascii="Times New Roman" w:hAnsi="Times New Roman" w:eastAsia="宋体" w:cs="Times New Roman"/>
          <w:sz w:val="24"/>
          <w:szCs w:val="21"/>
          <w:highlight w:val="none"/>
        </w:rPr>
        <w:tab/>
      </w:r>
    </w:p>
    <w:p w14:paraId="220F7786">
      <w:pPr>
        <w:wordWrap w:val="0"/>
        <w:spacing w:after="120" w:afterAutospacing="0" w:line="360" w:lineRule="auto"/>
        <w:jc w:val="right"/>
        <w:rPr>
          <w:rFonts w:hint="eastAsia" w:ascii="Times New Roman" w:hAnsi="Times New Roman" w:eastAsia="宋体" w:cs="Times New Roman"/>
          <w:sz w:val="24"/>
          <w:szCs w:val="21"/>
          <w:highlight w:val="none"/>
        </w:rPr>
      </w:pPr>
      <w:r>
        <w:rPr>
          <w:rFonts w:hint="eastAsia" w:ascii="Times New Roman" w:hAnsi="Times New Roman" w:eastAsia="宋体" w:cs="Times New Roman"/>
          <w:sz w:val="24"/>
          <w:szCs w:val="21"/>
          <w:highlight w:val="none"/>
        </w:rPr>
        <w:t xml:space="preserve">         法定代表人（或单位负责人）或其委托代理人：</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rPr>
        <w:t>（签字或盖章）</w:t>
      </w:r>
      <w:r>
        <w:rPr>
          <w:rFonts w:hint="eastAsia" w:ascii="Times New Roman" w:hAnsi="Times New Roman" w:eastAsia="宋体" w:cs="Times New Roman"/>
          <w:sz w:val="24"/>
          <w:szCs w:val="21"/>
          <w:highlight w:val="non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年</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 xml:space="preserve">月 </w:t>
      </w:r>
      <w:r>
        <w:rPr>
          <w:rFonts w:hint="eastAsia" w:ascii="Times New Roman" w:hAnsi="Times New Roman" w:eastAsia="宋体" w:cs="Times New Roman"/>
          <w:sz w:val="24"/>
          <w:szCs w:val="21"/>
          <w:highlight w:val="none"/>
          <w:u w:val="single"/>
        </w:rPr>
        <w:tab/>
      </w:r>
      <w:r>
        <w:rPr>
          <w:rFonts w:hint="eastAsia" w:ascii="Times New Roman" w:hAnsi="Times New Roman" w:eastAsia="宋体" w:cs="Times New Roman"/>
          <w:sz w:val="24"/>
          <w:szCs w:val="21"/>
          <w:highlight w:val="none"/>
          <w:u w:val="single"/>
        </w:rPr>
        <w:t xml:space="preserve">   </w:t>
      </w:r>
      <w:r>
        <w:rPr>
          <w:rFonts w:hint="eastAsia" w:ascii="Times New Roman" w:hAnsi="Times New Roman" w:eastAsia="宋体" w:cs="Times New Roman"/>
          <w:sz w:val="24"/>
          <w:szCs w:val="21"/>
          <w:highlight w:val="none"/>
        </w:rPr>
        <w:t>日</w:t>
      </w:r>
    </w:p>
    <w:p w14:paraId="220D2121">
      <w:pPr>
        <w:pStyle w:val="19"/>
        <w:spacing w:line="360" w:lineRule="auto"/>
        <w:rPr>
          <w:rFonts w:hint="eastAsia" w:ascii="宋体" w:hAnsi="宋体" w:cs="宋体"/>
          <w:szCs w:val="21"/>
          <w:highlight w:val="none"/>
        </w:rPr>
      </w:pPr>
      <w:r>
        <w:rPr>
          <w:rFonts w:hint="eastAsia" w:ascii="宋体" w:hAnsi="宋体"/>
          <w:highlight w:val="none"/>
        </w:rPr>
        <w:t xml:space="preserve">  </w:t>
      </w:r>
      <w:r>
        <w:rPr>
          <w:rFonts w:hint="eastAsia" w:ascii="宋体" w:hAnsi="宋体"/>
          <w:highlight w:val="none"/>
        </w:rPr>
        <w:br w:type="page"/>
      </w:r>
    </w:p>
    <w:p w14:paraId="7A93D448">
      <w:pPr>
        <w:pStyle w:val="2"/>
        <w:widowControl/>
        <w:tabs>
          <w:tab w:val="left" w:pos="0"/>
        </w:tabs>
        <w:ind w:left="0" w:leftChars="0" w:firstLine="0" w:firstLineChars="0"/>
        <w:rPr>
          <w:highlight w:val="none"/>
        </w:rPr>
      </w:pPr>
      <w:bookmarkStart w:id="906" w:name="_Toc493516163"/>
      <w:bookmarkStart w:id="907" w:name="_Toc493516250"/>
      <w:bookmarkStart w:id="908" w:name="_Toc493516061"/>
      <w:r>
        <w:rPr>
          <w:highlight w:val="none"/>
        </w:rPr>
        <w:t>七、</w:t>
      </w:r>
      <w:bookmarkEnd w:id="906"/>
      <w:bookmarkEnd w:id="907"/>
      <w:bookmarkEnd w:id="908"/>
      <w:r>
        <w:rPr>
          <w:highlight w:val="none"/>
        </w:rPr>
        <w:t>项目实施方案</w:t>
      </w:r>
    </w:p>
    <w:p w14:paraId="2F0662F6">
      <w:pPr>
        <w:pStyle w:val="19"/>
        <w:widowControl/>
        <w:ind w:left="0" w:leftChars="0" w:firstLine="480" w:firstLineChars="200"/>
        <w:rPr>
          <w:highlight w:val="none"/>
        </w:rPr>
      </w:pPr>
      <w:r>
        <w:rPr>
          <w:highlight w:val="none"/>
        </w:rPr>
        <w:t>注：本部分内容格式自拟。</w:t>
      </w:r>
    </w:p>
    <w:p w14:paraId="5CB78E29">
      <w:pPr>
        <w:spacing w:before="312" w:beforeLines="100" w:after="312" w:afterLines="100" w:line="360" w:lineRule="auto"/>
        <w:rPr>
          <w:rFonts w:ascii="宋体" w:hAnsi="宋体" w:cs="Arial"/>
          <w:szCs w:val="21"/>
          <w:highlight w:val="none"/>
        </w:rPr>
      </w:pPr>
      <w:r>
        <w:rPr>
          <w:rFonts w:ascii="宋体" w:hAnsi="宋体" w:cs="Arial"/>
          <w:szCs w:val="21"/>
          <w:highlight w:val="none"/>
        </w:rPr>
        <w:br w:type="page"/>
      </w:r>
    </w:p>
    <w:p w14:paraId="711E15BA">
      <w:pPr>
        <w:pStyle w:val="2"/>
        <w:widowControl/>
        <w:tabs>
          <w:tab w:val="left" w:pos="0"/>
        </w:tabs>
        <w:ind w:left="0" w:leftChars="0" w:firstLine="0" w:firstLineChars="0"/>
        <w:rPr>
          <w:highlight w:val="none"/>
        </w:rPr>
      </w:pPr>
      <w:r>
        <w:rPr>
          <w:highlight w:val="none"/>
        </w:rPr>
        <w:t>八、其他材料</w:t>
      </w:r>
    </w:p>
    <w:p w14:paraId="21EEE716">
      <w:pPr>
        <w:pStyle w:val="19"/>
        <w:ind w:left="0" w:leftChars="0" w:firstLine="480" w:firstLineChars="200"/>
        <w:rPr>
          <w:b w:val="0"/>
          <w:highlight w:val="none"/>
        </w:rPr>
      </w:pPr>
      <w:bookmarkStart w:id="909" w:name="_Toc177660976"/>
      <w:bookmarkStart w:id="910" w:name="_Toc25073288"/>
      <w:bookmarkStart w:id="911" w:name="_Toc25072919"/>
      <w:bookmarkStart w:id="912" w:name="_Toc534192230"/>
      <w:bookmarkStart w:id="913" w:name="_Toc150512324"/>
      <w:r>
        <w:rPr>
          <w:b w:val="0"/>
          <w:highlight w:val="none"/>
        </w:rPr>
        <w:t>比选申请人认为应该提供的其他资料，该部分内容格式自拟。</w:t>
      </w:r>
      <w:bookmarkEnd w:id="909"/>
      <w:bookmarkEnd w:id="910"/>
      <w:bookmarkEnd w:id="911"/>
      <w:bookmarkEnd w:id="912"/>
      <w:bookmarkEnd w:id="913"/>
    </w:p>
    <w:p w14:paraId="66FECF40">
      <w:pPr>
        <w:spacing w:line="360" w:lineRule="auto"/>
        <w:rPr>
          <w:rFonts w:hint="eastAsia" w:ascii="宋体" w:hAnsi="宋体"/>
          <w:highlight w:val="none"/>
        </w:rPr>
      </w:pPr>
    </w:p>
    <w:sectPr>
      <w:footerReference r:id="rId8" w:type="first"/>
      <w:footerReference r:id="rId7" w:type="default"/>
      <w:type w:val="continuous"/>
      <w:pgSz w:w="11906" w:h="16838"/>
      <w:pgMar w:top="1418" w:right="1418" w:bottom="1418" w:left="1418" w:header="851" w:footer="992" w:gutter="0"/>
      <w:pgNumType w:fmt="decimal"/>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招标部" w:date="2026-04-14T12:05:42Z" w:initials="">
    <w:p w14:paraId="259E0041">
      <w:pPr>
        <w:pStyle w:val="16"/>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9E00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Cambria">
    <w:altName w:val="苹方-简"/>
    <w:panose1 w:val="02040503050406030204"/>
    <w:charset w:val="00"/>
    <w:family w:val="roman"/>
    <w:pitch w:val="default"/>
    <w:sig w:usb0="00000000" w:usb1="00000000" w:usb2="00000000" w:usb3="00000000" w:csb0="200000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美黑">
    <w:altName w:val="汉仪中黑KW"/>
    <w:panose1 w:val="02010609000101010101"/>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Lucida Fax">
    <w:altName w:val="苹方-简"/>
    <w:panose1 w:val="02060602050505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Calibri Light">
    <w:altName w:val="Helvetica Neue"/>
    <w:panose1 w:val="020F0302020204030204"/>
    <w:charset w:val="00"/>
    <w:family w:val="swiss"/>
    <w:pitch w:val="default"/>
    <w:sig w:usb0="00000000" w:usb1="00000000" w:usb2="00000009" w:usb3="00000000" w:csb0="200001FF" w:csb1="00000000"/>
  </w:font>
  <w:font w:name="隶书">
    <w:altName w:val="报隶-简"/>
    <w:panose1 w:val="02010509060101010101"/>
    <w:charset w:val="86"/>
    <w:family w:val="modern"/>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Liberation Sans">
    <w:altName w:val="苹方-简"/>
    <w:panose1 w:val="00000000000000000000"/>
    <w:charset w:val="00"/>
    <w:family w:val="swiss"/>
    <w:pitch w:val="default"/>
    <w:sig w:usb0="00000000" w:usb1="00000000" w:usb2="00000000"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Mangal">
    <w:altName w:val="苹方-简"/>
    <w:panose1 w:val="02040503050203030202"/>
    <w:charset w:val="00"/>
    <w:family w:val="roman"/>
    <w:pitch w:val="default"/>
    <w:sig w:usb0="00000000" w:usb1="00000000" w:usb2="00000000" w:usb3="00000000" w:csb0="00000001" w:csb1="00000000"/>
  </w:font>
  <w:font w:name="华文中宋">
    <w:altName w:val="汉仪书宋二KW"/>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AFF" w:usb1="C000605B" w:usb2="00000029" w:usb3="00000000" w:csb0="200101FF" w:csb1="20280000"/>
  </w:font>
  <w:font w:name="方正书宋简体">
    <w:altName w:val="苹方-简"/>
    <w:panose1 w:val="00000000000000000000"/>
    <w:charset w:val="86"/>
    <w:family w:val="auto"/>
    <w:pitch w:val="default"/>
    <w:sig w:usb0="00000000" w:usb1="00000000" w:usb2="00000010" w:usb3="00000000" w:csb0="00040000" w:csb1="00000000"/>
  </w:font>
  <w:font w:name="MingLiU">
    <w:altName w:val="宋体-繁"/>
    <w:panose1 w:val="02020509000000000000"/>
    <w:charset w:val="88"/>
    <w:family w:val="modern"/>
    <w:pitch w:val="default"/>
    <w:sig w:usb0="00000000" w:usb1="00000000" w:usb2="00000016" w:usb3="00000000" w:csb0="00100001" w:csb1="00000000"/>
  </w:font>
  <w:font w:name="宋体-繁">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Apple Color Emoji">
    <w:panose1 w:val="00000000000000000000"/>
    <w:charset w:val="00"/>
    <w:family w:val="auto"/>
    <w:pitch w:val="default"/>
    <w:sig w:usb0="00000003" w:usb1="18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18C2">
    <w:pPr>
      <w:pStyle w:val="33"/>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FCE9C">
                          <w:pPr>
                            <w:pStyle w:val="3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CFCE9C">
                    <w:pPr>
                      <w:pStyle w:val="3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6</w:t>
                    </w:r>
                    <w:r>
                      <w:rPr>
                        <w:rFonts w:hint="eastAsia"/>
                        <w:lang w:eastAsia="zh-CN"/>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96CC5">
    <w:pPr>
      <w:pStyle w:val="3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A13FD">
                          <w:pPr>
                            <w:pStyle w:val="3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7A13FD">
                    <w:pPr>
                      <w:pStyle w:val="3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F3A8">
    <w:pPr>
      <w:pStyle w:val="33"/>
      <w:tabs>
        <w:tab w:val="left" w:pos="645"/>
        <w:tab w:val="clear" w:pos="4153"/>
        <w:tab w:val="clear" w:pos="8306"/>
      </w:tabs>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BE86">
    <w:pPr>
      <w:pStyle w:val="33"/>
      <w:ind w:right="360"/>
      <w:jc w:val="center"/>
    </w:pPr>
    <w:r>
      <w:fldChar w:fldCharType="begin"/>
    </w:r>
    <w:r>
      <w:rPr>
        <w:rStyle w:val="57"/>
      </w:rPr>
      <w:instrText xml:space="preserve"> PAGE </w:instrText>
    </w:r>
    <w:r>
      <w:fldChar w:fldCharType="separate"/>
    </w:r>
    <w:r>
      <w:rPr>
        <w:rStyle w:val="57"/>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FC9D5"/>
    <w:multiLevelType w:val="singleLevel"/>
    <w:tmpl w:val="A3AFC9D5"/>
    <w:lvl w:ilvl="0" w:tentative="0">
      <w:start w:val="1"/>
      <w:numFmt w:val="decimal"/>
      <w:lvlText w:val="3.3.%1"/>
      <w:lvlJc w:val="left"/>
      <w:pPr>
        <w:tabs>
          <w:tab w:val="left" w:pos="210"/>
        </w:tabs>
        <w:ind w:left="0" w:firstLine="480"/>
      </w:pPr>
      <w:rPr>
        <w:rFonts w:hint="default"/>
      </w:rPr>
    </w:lvl>
  </w:abstractNum>
  <w:abstractNum w:abstractNumId="1">
    <w:nsid w:val="A5DF7CB1"/>
    <w:multiLevelType w:val="singleLevel"/>
    <w:tmpl w:val="A5DF7CB1"/>
    <w:lvl w:ilvl="0" w:tentative="0">
      <w:start w:val="1"/>
      <w:numFmt w:val="decimal"/>
      <w:suff w:val="nothing"/>
      <w:lvlText w:val="（%1）"/>
      <w:lvlJc w:val="left"/>
      <w:pPr>
        <w:ind w:left="0" w:firstLine="480"/>
      </w:pPr>
      <w:rPr>
        <w:rFonts w:hint="default"/>
      </w:rPr>
    </w:lvl>
  </w:abstractNum>
  <w:abstractNum w:abstractNumId="2">
    <w:nsid w:val="A7CE15A7"/>
    <w:multiLevelType w:val="singleLevel"/>
    <w:tmpl w:val="A7CE15A7"/>
    <w:lvl w:ilvl="0" w:tentative="0">
      <w:start w:val="1"/>
      <w:numFmt w:val="chineseCounting"/>
      <w:suff w:val="nothing"/>
      <w:lvlText w:val="（%1）"/>
      <w:lvlJc w:val="left"/>
      <w:pPr>
        <w:ind w:left="0" w:firstLine="0"/>
      </w:pPr>
      <w:rPr>
        <w:rFonts w:hint="eastAsia"/>
      </w:rPr>
    </w:lvl>
  </w:abstractNum>
  <w:abstractNum w:abstractNumId="3">
    <w:nsid w:val="ABFE98A8"/>
    <w:multiLevelType w:val="singleLevel"/>
    <w:tmpl w:val="ABFE98A8"/>
    <w:lvl w:ilvl="0" w:tentative="0">
      <w:start w:val="1"/>
      <w:numFmt w:val="decimal"/>
      <w:lvlText w:val="3.4.%1"/>
      <w:lvlJc w:val="left"/>
      <w:pPr>
        <w:tabs>
          <w:tab w:val="left" w:pos="210"/>
        </w:tabs>
        <w:ind w:left="0" w:firstLine="480"/>
      </w:pPr>
      <w:rPr>
        <w:rFonts w:hint="default"/>
      </w:rPr>
    </w:lvl>
  </w:abstractNum>
  <w:abstractNum w:abstractNumId="4">
    <w:nsid w:val="AFB65035"/>
    <w:multiLevelType w:val="singleLevel"/>
    <w:tmpl w:val="AFB65035"/>
    <w:lvl w:ilvl="0" w:tentative="0">
      <w:start w:val="1"/>
      <w:numFmt w:val="decimal"/>
      <w:lvlText w:val="8.%1"/>
      <w:lvlJc w:val="left"/>
      <w:pPr>
        <w:tabs>
          <w:tab w:val="left" w:pos="210"/>
        </w:tabs>
        <w:ind w:left="0" w:firstLine="0"/>
      </w:pPr>
      <w:rPr>
        <w:rFonts w:hint="default"/>
      </w:rPr>
    </w:lvl>
  </w:abstractNum>
  <w:abstractNum w:abstractNumId="5">
    <w:nsid w:val="AFEE4270"/>
    <w:multiLevelType w:val="singleLevel"/>
    <w:tmpl w:val="AFEE4270"/>
    <w:lvl w:ilvl="0" w:tentative="0">
      <w:start w:val="1"/>
      <w:numFmt w:val="decimal"/>
      <w:lvlText w:val="4.1.%1"/>
      <w:lvlJc w:val="left"/>
      <w:pPr>
        <w:tabs>
          <w:tab w:val="left" w:pos="210"/>
        </w:tabs>
        <w:ind w:left="0" w:firstLine="480"/>
      </w:pPr>
      <w:rPr>
        <w:rFonts w:hint="default"/>
      </w:rPr>
    </w:lvl>
  </w:abstractNum>
  <w:abstractNum w:abstractNumId="6">
    <w:nsid w:val="B3F52831"/>
    <w:multiLevelType w:val="singleLevel"/>
    <w:tmpl w:val="B3F52831"/>
    <w:lvl w:ilvl="0" w:tentative="0">
      <w:start w:val="1"/>
      <w:numFmt w:val="decimal"/>
      <w:lvlText w:val="1.2.%1"/>
      <w:lvlJc w:val="left"/>
      <w:pPr>
        <w:tabs>
          <w:tab w:val="left" w:pos="210"/>
        </w:tabs>
        <w:ind w:left="0" w:firstLine="480"/>
      </w:pPr>
      <w:rPr>
        <w:rFonts w:hint="default"/>
      </w:rPr>
    </w:lvl>
  </w:abstractNum>
  <w:abstractNum w:abstractNumId="7">
    <w:nsid w:val="B3FC72A1"/>
    <w:multiLevelType w:val="singleLevel"/>
    <w:tmpl w:val="B3FC72A1"/>
    <w:lvl w:ilvl="0" w:tentative="0">
      <w:start w:val="1"/>
      <w:numFmt w:val="decimal"/>
      <w:lvlText w:val="%1."/>
      <w:lvlJc w:val="left"/>
      <w:pPr>
        <w:tabs>
          <w:tab w:val="left" w:pos="210"/>
        </w:tabs>
        <w:ind w:left="0" w:firstLine="480"/>
      </w:pPr>
      <w:rPr>
        <w:rFonts w:hint="default"/>
      </w:rPr>
    </w:lvl>
  </w:abstractNum>
  <w:abstractNum w:abstractNumId="8">
    <w:nsid w:val="BAFE62EE"/>
    <w:multiLevelType w:val="singleLevel"/>
    <w:tmpl w:val="BAFE62EE"/>
    <w:lvl w:ilvl="0" w:tentative="0">
      <w:start w:val="1"/>
      <w:numFmt w:val="decimal"/>
      <w:lvlText w:val="5.%1"/>
      <w:lvlJc w:val="left"/>
      <w:pPr>
        <w:tabs>
          <w:tab w:val="left" w:pos="210"/>
        </w:tabs>
        <w:ind w:left="0" w:firstLine="0"/>
      </w:pPr>
      <w:rPr>
        <w:rFonts w:hint="default"/>
      </w:rPr>
    </w:lvl>
  </w:abstractNum>
  <w:abstractNum w:abstractNumId="9">
    <w:nsid w:val="BBF6AD34"/>
    <w:multiLevelType w:val="singleLevel"/>
    <w:tmpl w:val="BBF6AD34"/>
    <w:lvl w:ilvl="0" w:tentative="0">
      <w:start w:val="1"/>
      <w:numFmt w:val="decimal"/>
      <w:suff w:val="nothing"/>
      <w:lvlText w:val="%1、"/>
      <w:lvlJc w:val="left"/>
      <w:pPr>
        <w:ind w:left="0" w:firstLine="480"/>
      </w:pPr>
      <w:rPr>
        <w:rFonts w:hint="default"/>
      </w:rPr>
    </w:lvl>
  </w:abstractNum>
  <w:abstractNum w:abstractNumId="10">
    <w:nsid w:val="BCBED144"/>
    <w:multiLevelType w:val="singleLevel"/>
    <w:tmpl w:val="BCBED144"/>
    <w:lvl w:ilvl="0" w:tentative="0">
      <w:start w:val="1"/>
      <w:numFmt w:val="decimal"/>
      <w:lvlText w:val="3.5.%1"/>
      <w:lvlJc w:val="left"/>
      <w:pPr>
        <w:tabs>
          <w:tab w:val="left" w:pos="210"/>
        </w:tabs>
        <w:ind w:left="0" w:firstLine="480"/>
      </w:pPr>
      <w:rPr>
        <w:rFonts w:hint="default"/>
      </w:rPr>
    </w:lvl>
  </w:abstractNum>
  <w:abstractNum w:abstractNumId="11">
    <w:nsid w:val="BDCF8168"/>
    <w:multiLevelType w:val="singleLevel"/>
    <w:tmpl w:val="BDCF8168"/>
    <w:lvl w:ilvl="0" w:tentative="0">
      <w:start w:val="1"/>
      <w:numFmt w:val="decimal"/>
      <w:lvlText w:val="6.3.%1"/>
      <w:lvlJc w:val="left"/>
      <w:pPr>
        <w:tabs>
          <w:tab w:val="left" w:pos="210"/>
        </w:tabs>
        <w:ind w:left="0" w:firstLine="480"/>
      </w:pPr>
      <w:rPr>
        <w:rFonts w:hint="default"/>
      </w:rPr>
    </w:lvl>
  </w:abstractNum>
  <w:abstractNum w:abstractNumId="12">
    <w:nsid w:val="BDFF0405"/>
    <w:multiLevelType w:val="singleLevel"/>
    <w:tmpl w:val="BDFF0405"/>
    <w:lvl w:ilvl="0" w:tentative="0">
      <w:start w:val="1"/>
      <w:numFmt w:val="chineseCounting"/>
      <w:suff w:val="nothing"/>
      <w:lvlText w:val="%1、"/>
      <w:lvlJc w:val="left"/>
      <w:pPr>
        <w:ind w:left="0" w:firstLine="0"/>
      </w:pPr>
      <w:rPr>
        <w:rFonts w:hint="eastAsia"/>
      </w:rPr>
    </w:lvl>
  </w:abstractNum>
  <w:abstractNum w:abstractNumId="13">
    <w:nsid w:val="BEFE577D"/>
    <w:multiLevelType w:val="singleLevel"/>
    <w:tmpl w:val="BEFE577D"/>
    <w:lvl w:ilvl="0" w:tentative="0">
      <w:start w:val="1"/>
      <w:numFmt w:val="decimal"/>
      <w:lvlText w:val="2.2.%1"/>
      <w:lvlJc w:val="left"/>
      <w:pPr>
        <w:tabs>
          <w:tab w:val="left" w:pos="210"/>
        </w:tabs>
        <w:ind w:left="0" w:firstLine="480"/>
      </w:pPr>
      <w:rPr>
        <w:rFonts w:hint="default"/>
      </w:rPr>
    </w:lvl>
  </w:abstractNum>
  <w:abstractNum w:abstractNumId="14">
    <w:nsid w:val="BF1AD19E"/>
    <w:multiLevelType w:val="singleLevel"/>
    <w:tmpl w:val="BF1AD19E"/>
    <w:lvl w:ilvl="0" w:tentative="0">
      <w:start w:val="1"/>
      <w:numFmt w:val="decimal"/>
      <w:suff w:val="nothing"/>
      <w:lvlText w:val="（%1）"/>
      <w:lvlJc w:val="left"/>
      <w:pPr>
        <w:ind w:left="0" w:firstLine="480"/>
      </w:pPr>
      <w:rPr>
        <w:rFonts w:hint="default"/>
      </w:rPr>
    </w:lvl>
  </w:abstractNum>
  <w:abstractNum w:abstractNumId="15">
    <w:nsid w:val="BFBF9805"/>
    <w:multiLevelType w:val="singleLevel"/>
    <w:tmpl w:val="BFBF9805"/>
    <w:lvl w:ilvl="0" w:tentative="0">
      <w:start w:val="1"/>
      <w:numFmt w:val="decimal"/>
      <w:lvlText w:val="2.%1"/>
      <w:lvlJc w:val="left"/>
      <w:pPr>
        <w:tabs>
          <w:tab w:val="left" w:pos="210"/>
        </w:tabs>
        <w:ind w:left="0" w:firstLine="0"/>
      </w:pPr>
      <w:rPr>
        <w:rFonts w:hint="default"/>
      </w:rPr>
    </w:lvl>
  </w:abstractNum>
  <w:abstractNum w:abstractNumId="16">
    <w:nsid w:val="BFDE6DD7"/>
    <w:multiLevelType w:val="singleLevel"/>
    <w:tmpl w:val="BFDE6DD7"/>
    <w:lvl w:ilvl="0" w:tentative="0">
      <w:start w:val="1"/>
      <w:numFmt w:val="decimal"/>
      <w:lvlText w:val="3.3.%1"/>
      <w:lvlJc w:val="left"/>
      <w:pPr>
        <w:tabs>
          <w:tab w:val="left" w:pos="210"/>
        </w:tabs>
        <w:ind w:left="0" w:firstLine="480"/>
      </w:pPr>
      <w:rPr>
        <w:rFonts w:hint="default"/>
      </w:rPr>
    </w:lvl>
  </w:abstractNum>
  <w:abstractNum w:abstractNumId="17">
    <w:nsid w:val="C3FF0759"/>
    <w:multiLevelType w:val="singleLevel"/>
    <w:tmpl w:val="C3FF0759"/>
    <w:lvl w:ilvl="0" w:tentative="0">
      <w:start w:val="1"/>
      <w:numFmt w:val="decimal"/>
      <w:lvlText w:val="4.2.%1"/>
      <w:lvlJc w:val="left"/>
      <w:pPr>
        <w:tabs>
          <w:tab w:val="left" w:pos="210"/>
        </w:tabs>
        <w:ind w:left="0" w:firstLine="480"/>
      </w:pPr>
      <w:rPr>
        <w:rFonts w:hint="default"/>
      </w:rPr>
    </w:lvl>
  </w:abstractNum>
  <w:abstractNum w:abstractNumId="18">
    <w:nsid w:val="D27997AA"/>
    <w:multiLevelType w:val="singleLevel"/>
    <w:tmpl w:val="D27997AA"/>
    <w:lvl w:ilvl="0" w:tentative="0">
      <w:start w:val="1"/>
      <w:numFmt w:val="decimalEnclosedCircleChinese"/>
      <w:lvlText w:val="%1"/>
      <w:lvlJc w:val="left"/>
      <w:pPr>
        <w:tabs>
          <w:tab w:val="left" w:pos="210"/>
        </w:tabs>
        <w:ind w:left="0" w:firstLine="480"/>
      </w:pPr>
      <w:rPr>
        <w:rFonts w:hint="eastAsia"/>
      </w:rPr>
    </w:lvl>
  </w:abstractNum>
  <w:abstractNum w:abstractNumId="19">
    <w:nsid w:val="D4EC2558"/>
    <w:multiLevelType w:val="singleLevel"/>
    <w:tmpl w:val="D4EC2558"/>
    <w:lvl w:ilvl="0" w:tentative="0">
      <w:start w:val="1"/>
      <w:numFmt w:val="decimal"/>
      <w:suff w:val="nothing"/>
      <w:lvlText w:val="（%1）"/>
      <w:lvlJc w:val="left"/>
      <w:pPr>
        <w:ind w:left="0" w:firstLine="480"/>
      </w:pPr>
      <w:rPr>
        <w:rFonts w:hint="default"/>
      </w:rPr>
    </w:lvl>
  </w:abstractNum>
  <w:abstractNum w:abstractNumId="20">
    <w:nsid w:val="D67FC521"/>
    <w:multiLevelType w:val="singleLevel"/>
    <w:tmpl w:val="D67FC521"/>
    <w:lvl w:ilvl="0" w:tentative="0">
      <w:start w:val="1"/>
      <w:numFmt w:val="decimal"/>
      <w:lvlText w:val="4.3.%1"/>
      <w:lvlJc w:val="left"/>
      <w:pPr>
        <w:tabs>
          <w:tab w:val="left" w:pos="210"/>
        </w:tabs>
        <w:ind w:left="0" w:firstLine="480"/>
      </w:pPr>
      <w:rPr>
        <w:rFonts w:hint="default"/>
      </w:rPr>
    </w:lvl>
  </w:abstractNum>
  <w:abstractNum w:abstractNumId="21">
    <w:nsid w:val="DB9C436D"/>
    <w:multiLevelType w:val="singleLevel"/>
    <w:tmpl w:val="DB9C436D"/>
    <w:lvl w:ilvl="0" w:tentative="0">
      <w:start w:val="1"/>
      <w:numFmt w:val="decimal"/>
      <w:lvlText w:val="7.8.%1"/>
      <w:lvlJc w:val="left"/>
      <w:pPr>
        <w:tabs>
          <w:tab w:val="left" w:pos="210"/>
        </w:tabs>
        <w:ind w:left="0" w:firstLine="480"/>
      </w:pPr>
      <w:rPr>
        <w:rFonts w:hint="default"/>
      </w:rPr>
    </w:lvl>
  </w:abstractNum>
  <w:abstractNum w:abstractNumId="22">
    <w:nsid w:val="DBDFCF03"/>
    <w:multiLevelType w:val="singleLevel"/>
    <w:tmpl w:val="DBDFCF03"/>
    <w:lvl w:ilvl="0" w:tentative="0">
      <w:start w:val="1"/>
      <w:numFmt w:val="decimal"/>
      <w:lvlText w:val="1.9.%1"/>
      <w:lvlJc w:val="left"/>
      <w:pPr>
        <w:tabs>
          <w:tab w:val="left" w:pos="210"/>
        </w:tabs>
        <w:ind w:left="0" w:firstLine="480"/>
      </w:pPr>
      <w:rPr>
        <w:rFonts w:hint="default"/>
      </w:rPr>
    </w:lvl>
  </w:abstractNum>
  <w:abstractNum w:abstractNumId="23">
    <w:nsid w:val="E2CEAE38"/>
    <w:multiLevelType w:val="singleLevel"/>
    <w:tmpl w:val="E2CEAE38"/>
    <w:lvl w:ilvl="0" w:tentative="0">
      <w:start w:val="2"/>
      <w:numFmt w:val="decimal"/>
      <w:suff w:val="nothing"/>
      <w:lvlText w:val="（%1）"/>
      <w:lvlJc w:val="left"/>
      <w:pPr>
        <w:ind w:left="0" w:firstLine="480"/>
      </w:pPr>
      <w:rPr>
        <w:rFonts w:hint="default"/>
      </w:rPr>
    </w:lvl>
  </w:abstractNum>
  <w:abstractNum w:abstractNumId="24">
    <w:nsid w:val="E3BFF729"/>
    <w:multiLevelType w:val="singleLevel"/>
    <w:tmpl w:val="E3BFF729"/>
    <w:lvl w:ilvl="0" w:tentative="0">
      <w:start w:val="1"/>
      <w:numFmt w:val="decimal"/>
      <w:lvlText w:val="2.2.%1"/>
      <w:lvlJc w:val="left"/>
      <w:pPr>
        <w:tabs>
          <w:tab w:val="left" w:pos="210"/>
        </w:tabs>
        <w:ind w:left="0" w:firstLine="0"/>
      </w:pPr>
      <w:rPr>
        <w:rFonts w:hint="default"/>
      </w:rPr>
    </w:lvl>
  </w:abstractNum>
  <w:abstractNum w:abstractNumId="25">
    <w:nsid w:val="E3FDB793"/>
    <w:multiLevelType w:val="singleLevel"/>
    <w:tmpl w:val="E3FDB793"/>
    <w:lvl w:ilvl="0" w:tentative="0">
      <w:start w:val="1"/>
      <w:numFmt w:val="decimal"/>
      <w:lvlText w:val="3.6.%1"/>
      <w:lvlJc w:val="left"/>
      <w:pPr>
        <w:tabs>
          <w:tab w:val="left" w:pos="210"/>
        </w:tabs>
        <w:ind w:left="0" w:firstLine="480"/>
      </w:pPr>
      <w:rPr>
        <w:rFonts w:hint="default"/>
      </w:rPr>
    </w:lvl>
  </w:abstractNum>
  <w:abstractNum w:abstractNumId="26">
    <w:nsid w:val="E47FAFC6"/>
    <w:multiLevelType w:val="singleLevel"/>
    <w:tmpl w:val="E47FAFC6"/>
    <w:lvl w:ilvl="0" w:tentative="0">
      <w:start w:val="1"/>
      <w:numFmt w:val="decimal"/>
      <w:suff w:val="nothing"/>
      <w:lvlText w:val="（%1）"/>
      <w:lvlJc w:val="left"/>
      <w:pPr>
        <w:ind w:left="0" w:firstLine="480"/>
      </w:pPr>
      <w:rPr>
        <w:rFonts w:hint="default"/>
      </w:rPr>
    </w:lvl>
  </w:abstractNum>
  <w:abstractNum w:abstractNumId="27">
    <w:nsid w:val="ED36B4A9"/>
    <w:multiLevelType w:val="singleLevel"/>
    <w:tmpl w:val="ED36B4A9"/>
    <w:lvl w:ilvl="0" w:tentative="0">
      <w:start w:val="1"/>
      <w:numFmt w:val="decimal"/>
      <w:lvlText w:val="%1."/>
      <w:lvlJc w:val="left"/>
      <w:pPr>
        <w:tabs>
          <w:tab w:val="left" w:pos="210"/>
        </w:tabs>
        <w:ind w:left="0" w:firstLine="0"/>
      </w:pPr>
      <w:rPr>
        <w:rFonts w:hint="default"/>
      </w:rPr>
    </w:lvl>
  </w:abstractNum>
  <w:abstractNum w:abstractNumId="28">
    <w:nsid w:val="EDFE8778"/>
    <w:multiLevelType w:val="singleLevel"/>
    <w:tmpl w:val="EDFE8778"/>
    <w:lvl w:ilvl="0" w:tentative="0">
      <w:start w:val="1"/>
      <w:numFmt w:val="decimal"/>
      <w:suff w:val="nothing"/>
      <w:lvlText w:val="（%1）"/>
      <w:lvlJc w:val="left"/>
      <w:pPr>
        <w:ind w:left="0" w:firstLine="480"/>
      </w:pPr>
      <w:rPr>
        <w:rFonts w:hint="default"/>
      </w:rPr>
    </w:lvl>
  </w:abstractNum>
  <w:abstractNum w:abstractNumId="29">
    <w:nsid w:val="EEDB7640"/>
    <w:multiLevelType w:val="singleLevel"/>
    <w:tmpl w:val="EEDB7640"/>
    <w:lvl w:ilvl="0" w:tentative="0">
      <w:start w:val="1"/>
      <w:numFmt w:val="decimal"/>
      <w:lvlText w:val="1.1.%1"/>
      <w:lvlJc w:val="left"/>
      <w:pPr>
        <w:tabs>
          <w:tab w:val="left" w:pos="210"/>
        </w:tabs>
        <w:ind w:left="0" w:firstLine="480"/>
      </w:pPr>
      <w:rPr>
        <w:rFonts w:hint="default"/>
      </w:rPr>
    </w:lvl>
  </w:abstractNum>
  <w:abstractNum w:abstractNumId="30">
    <w:nsid w:val="EEFBAF93"/>
    <w:multiLevelType w:val="singleLevel"/>
    <w:tmpl w:val="EEFBAF93"/>
    <w:lvl w:ilvl="0" w:tentative="0">
      <w:start w:val="1"/>
      <w:numFmt w:val="decimal"/>
      <w:suff w:val="nothing"/>
      <w:lvlText w:val="（%1）"/>
      <w:lvlJc w:val="left"/>
      <w:pPr>
        <w:ind w:left="0" w:firstLine="480"/>
      </w:pPr>
      <w:rPr>
        <w:rFonts w:hint="default"/>
      </w:rPr>
    </w:lvl>
  </w:abstractNum>
  <w:abstractNum w:abstractNumId="31">
    <w:nsid w:val="EEFBD1A7"/>
    <w:multiLevelType w:val="singleLevel"/>
    <w:tmpl w:val="EEFBD1A7"/>
    <w:lvl w:ilvl="0" w:tentative="0">
      <w:start w:val="1"/>
      <w:numFmt w:val="decimal"/>
      <w:suff w:val="nothing"/>
      <w:lvlText w:val="（%1）"/>
      <w:lvlJc w:val="left"/>
      <w:pPr>
        <w:ind w:left="0" w:firstLine="480"/>
      </w:pPr>
      <w:rPr>
        <w:rFonts w:hint="default"/>
      </w:rPr>
    </w:lvl>
  </w:abstractNum>
  <w:abstractNum w:abstractNumId="32">
    <w:nsid w:val="EFE65B4B"/>
    <w:multiLevelType w:val="singleLevel"/>
    <w:tmpl w:val="EFE65B4B"/>
    <w:lvl w:ilvl="0" w:tentative="0">
      <w:start w:val="1"/>
      <w:numFmt w:val="decimal"/>
      <w:lvlText w:val="1.4.%1"/>
      <w:lvlJc w:val="left"/>
      <w:pPr>
        <w:tabs>
          <w:tab w:val="left" w:pos="210"/>
        </w:tabs>
        <w:ind w:left="0" w:firstLine="480"/>
      </w:pPr>
      <w:rPr>
        <w:rFonts w:hint="default"/>
      </w:rPr>
    </w:lvl>
  </w:abstractNum>
  <w:abstractNum w:abstractNumId="33">
    <w:nsid w:val="EFF7FE91"/>
    <w:multiLevelType w:val="singleLevel"/>
    <w:tmpl w:val="EFF7FE91"/>
    <w:lvl w:ilvl="0" w:tentative="0">
      <w:start w:val="1"/>
      <w:numFmt w:val="decimal"/>
      <w:lvlText w:val="2.%1"/>
      <w:lvlJc w:val="left"/>
      <w:pPr>
        <w:tabs>
          <w:tab w:val="left" w:pos="210"/>
        </w:tabs>
        <w:ind w:left="0" w:firstLine="480"/>
      </w:pPr>
      <w:rPr>
        <w:rFonts w:hint="default"/>
      </w:rPr>
    </w:lvl>
  </w:abstractNum>
  <w:abstractNum w:abstractNumId="34">
    <w:nsid w:val="F11EA93D"/>
    <w:multiLevelType w:val="singleLevel"/>
    <w:tmpl w:val="F11EA93D"/>
    <w:lvl w:ilvl="0" w:tentative="0">
      <w:start w:val="1"/>
      <w:numFmt w:val="decimal"/>
      <w:suff w:val="nothing"/>
      <w:lvlText w:val="%1、"/>
      <w:lvlJc w:val="left"/>
      <w:pPr>
        <w:ind w:left="0" w:firstLine="480"/>
      </w:pPr>
      <w:rPr>
        <w:rFonts w:hint="default"/>
      </w:rPr>
    </w:lvl>
  </w:abstractNum>
  <w:abstractNum w:abstractNumId="35">
    <w:nsid w:val="F5FF728E"/>
    <w:multiLevelType w:val="singleLevel"/>
    <w:tmpl w:val="F5FF728E"/>
    <w:lvl w:ilvl="0" w:tentative="0">
      <w:start w:val="1"/>
      <w:numFmt w:val="decimal"/>
      <w:lvlText w:val="3.1.%1"/>
      <w:lvlJc w:val="left"/>
      <w:pPr>
        <w:tabs>
          <w:tab w:val="left" w:pos="210"/>
        </w:tabs>
        <w:ind w:left="0" w:firstLine="480"/>
      </w:pPr>
      <w:rPr>
        <w:rFonts w:hint="default"/>
      </w:rPr>
    </w:lvl>
  </w:abstractNum>
  <w:abstractNum w:abstractNumId="36">
    <w:nsid w:val="F6FEFCA1"/>
    <w:multiLevelType w:val="singleLevel"/>
    <w:tmpl w:val="F6FEFCA1"/>
    <w:lvl w:ilvl="0" w:tentative="0">
      <w:start w:val="1"/>
      <w:numFmt w:val="decimal"/>
      <w:lvlText w:val="%1."/>
      <w:lvlJc w:val="left"/>
      <w:pPr>
        <w:tabs>
          <w:tab w:val="left" w:pos="210"/>
        </w:tabs>
        <w:ind w:left="0" w:firstLine="0"/>
      </w:pPr>
      <w:rPr>
        <w:rFonts w:hint="default"/>
      </w:rPr>
    </w:lvl>
  </w:abstractNum>
  <w:abstractNum w:abstractNumId="37">
    <w:nsid w:val="F797D2CC"/>
    <w:multiLevelType w:val="singleLevel"/>
    <w:tmpl w:val="F797D2CC"/>
    <w:lvl w:ilvl="0" w:tentative="0">
      <w:start w:val="1"/>
      <w:numFmt w:val="decimal"/>
      <w:lvlText w:val="4.%1"/>
      <w:lvlJc w:val="left"/>
      <w:pPr>
        <w:tabs>
          <w:tab w:val="left" w:pos="210"/>
        </w:tabs>
        <w:ind w:left="0" w:firstLine="0"/>
      </w:pPr>
      <w:rPr>
        <w:rFonts w:hint="default"/>
      </w:rPr>
    </w:lvl>
  </w:abstractNum>
  <w:abstractNum w:abstractNumId="38">
    <w:nsid w:val="F7FF4323"/>
    <w:multiLevelType w:val="singleLevel"/>
    <w:tmpl w:val="F7FF4323"/>
    <w:lvl w:ilvl="0" w:tentative="0">
      <w:start w:val="1"/>
      <w:numFmt w:val="decimal"/>
      <w:lvlText w:val="7.%1"/>
      <w:lvlJc w:val="left"/>
      <w:pPr>
        <w:tabs>
          <w:tab w:val="left" w:pos="210"/>
        </w:tabs>
        <w:ind w:left="0" w:firstLine="0"/>
      </w:pPr>
      <w:rPr>
        <w:rFonts w:hint="default"/>
      </w:rPr>
    </w:lvl>
  </w:abstractNum>
  <w:abstractNum w:abstractNumId="39">
    <w:nsid w:val="F8F8B67B"/>
    <w:multiLevelType w:val="singleLevel"/>
    <w:tmpl w:val="F8F8B67B"/>
    <w:lvl w:ilvl="0" w:tentative="0">
      <w:start w:val="1"/>
      <w:numFmt w:val="decimal"/>
      <w:lvlText w:val="7.7.%1"/>
      <w:lvlJc w:val="left"/>
      <w:pPr>
        <w:tabs>
          <w:tab w:val="left" w:pos="210"/>
        </w:tabs>
        <w:ind w:left="0" w:firstLine="480"/>
      </w:pPr>
      <w:rPr>
        <w:rFonts w:hint="default"/>
      </w:rPr>
    </w:lvl>
  </w:abstractNum>
  <w:abstractNum w:abstractNumId="40">
    <w:nsid w:val="FBB16275"/>
    <w:multiLevelType w:val="singleLevel"/>
    <w:tmpl w:val="FBB16275"/>
    <w:lvl w:ilvl="0" w:tentative="0">
      <w:start w:val="1"/>
      <w:numFmt w:val="decimal"/>
      <w:lvlText w:val="1.3.%1"/>
      <w:lvlJc w:val="left"/>
      <w:pPr>
        <w:tabs>
          <w:tab w:val="left" w:pos="210"/>
        </w:tabs>
        <w:ind w:left="0" w:firstLine="480"/>
      </w:pPr>
      <w:rPr>
        <w:rFonts w:hint="default"/>
      </w:rPr>
    </w:lvl>
  </w:abstractNum>
  <w:abstractNum w:abstractNumId="41">
    <w:nsid w:val="FBB87A69"/>
    <w:multiLevelType w:val="singleLevel"/>
    <w:tmpl w:val="FBB87A69"/>
    <w:lvl w:ilvl="0" w:tentative="0">
      <w:start w:val="1"/>
      <w:numFmt w:val="decimal"/>
      <w:lvlText w:val="3.4.%1"/>
      <w:lvlJc w:val="left"/>
      <w:pPr>
        <w:tabs>
          <w:tab w:val="left" w:pos="210"/>
        </w:tabs>
        <w:ind w:left="0" w:firstLine="480"/>
      </w:pPr>
      <w:rPr>
        <w:rFonts w:hint="default"/>
      </w:rPr>
    </w:lvl>
  </w:abstractNum>
  <w:abstractNum w:abstractNumId="42">
    <w:nsid w:val="FBBE129A"/>
    <w:multiLevelType w:val="singleLevel"/>
    <w:tmpl w:val="FBBE129A"/>
    <w:lvl w:ilvl="0" w:tentative="0">
      <w:start w:val="1"/>
      <w:numFmt w:val="decimal"/>
      <w:suff w:val="nothing"/>
      <w:lvlText w:val="%1、"/>
      <w:lvlJc w:val="left"/>
      <w:pPr>
        <w:ind w:left="0" w:firstLine="0"/>
      </w:pPr>
      <w:rPr>
        <w:rFonts w:hint="default"/>
      </w:rPr>
    </w:lvl>
  </w:abstractNum>
  <w:abstractNum w:abstractNumId="43">
    <w:nsid w:val="FBF1D001"/>
    <w:multiLevelType w:val="singleLevel"/>
    <w:tmpl w:val="FBF1D001"/>
    <w:lvl w:ilvl="0" w:tentative="0">
      <w:start w:val="1"/>
      <w:numFmt w:val="decimal"/>
      <w:lvlText w:val="3.1.%1"/>
      <w:lvlJc w:val="left"/>
      <w:pPr>
        <w:tabs>
          <w:tab w:val="left" w:pos="210"/>
        </w:tabs>
        <w:ind w:left="0" w:firstLine="480"/>
      </w:pPr>
      <w:rPr>
        <w:rFonts w:hint="default"/>
      </w:rPr>
    </w:lvl>
  </w:abstractNum>
  <w:abstractNum w:abstractNumId="44">
    <w:nsid w:val="FBF37167"/>
    <w:multiLevelType w:val="singleLevel"/>
    <w:tmpl w:val="FBF37167"/>
    <w:lvl w:ilvl="0" w:tentative="0">
      <w:start w:val="1"/>
      <w:numFmt w:val="decimal"/>
      <w:lvlText w:val="2.1.%1"/>
      <w:lvlJc w:val="left"/>
      <w:pPr>
        <w:tabs>
          <w:tab w:val="left" w:pos="210"/>
        </w:tabs>
        <w:ind w:left="0" w:firstLine="480"/>
      </w:pPr>
      <w:rPr>
        <w:rFonts w:hint="default"/>
      </w:rPr>
    </w:lvl>
  </w:abstractNum>
  <w:abstractNum w:abstractNumId="45">
    <w:nsid w:val="FBF71EC1"/>
    <w:multiLevelType w:val="singleLevel"/>
    <w:tmpl w:val="FBF71EC1"/>
    <w:lvl w:ilvl="0" w:tentative="0">
      <w:start w:val="1"/>
      <w:numFmt w:val="decimal"/>
      <w:suff w:val="nothing"/>
      <w:lvlText w:val="（%1）"/>
      <w:lvlJc w:val="left"/>
      <w:pPr>
        <w:ind w:left="0" w:firstLine="480"/>
      </w:pPr>
      <w:rPr>
        <w:rFonts w:hint="default"/>
      </w:rPr>
    </w:lvl>
  </w:abstractNum>
  <w:abstractNum w:abstractNumId="46">
    <w:nsid w:val="FDAF0DA2"/>
    <w:multiLevelType w:val="singleLevel"/>
    <w:tmpl w:val="FDAF0DA2"/>
    <w:lvl w:ilvl="0" w:tentative="0">
      <w:start w:val="1"/>
      <w:numFmt w:val="chineseCounting"/>
      <w:suff w:val="nothing"/>
      <w:lvlText w:val="%1、"/>
      <w:lvlJc w:val="left"/>
      <w:pPr>
        <w:ind w:left="0" w:firstLine="0"/>
      </w:pPr>
      <w:rPr>
        <w:rFonts w:hint="eastAsia"/>
      </w:rPr>
    </w:lvl>
  </w:abstractNum>
  <w:abstractNum w:abstractNumId="47">
    <w:nsid w:val="FDFA7D73"/>
    <w:multiLevelType w:val="singleLevel"/>
    <w:tmpl w:val="FDFA7D73"/>
    <w:lvl w:ilvl="0" w:tentative="0">
      <w:start w:val="1"/>
      <w:numFmt w:val="decimal"/>
      <w:lvlText w:val="1.10.%1"/>
      <w:lvlJc w:val="left"/>
      <w:pPr>
        <w:tabs>
          <w:tab w:val="left" w:pos="210"/>
        </w:tabs>
        <w:ind w:left="0" w:firstLine="480"/>
      </w:pPr>
      <w:rPr>
        <w:rFonts w:hint="default"/>
      </w:rPr>
    </w:lvl>
  </w:abstractNum>
  <w:abstractNum w:abstractNumId="48">
    <w:nsid w:val="FE8E3DB7"/>
    <w:multiLevelType w:val="singleLevel"/>
    <w:tmpl w:val="FE8E3DB7"/>
    <w:lvl w:ilvl="0" w:tentative="0">
      <w:start w:val="1"/>
      <w:numFmt w:val="decimal"/>
      <w:suff w:val="nothing"/>
      <w:lvlText w:val="%1、"/>
      <w:lvlJc w:val="left"/>
      <w:pPr>
        <w:ind w:left="0" w:firstLine="480"/>
      </w:pPr>
      <w:rPr>
        <w:rFonts w:hint="default"/>
      </w:rPr>
    </w:lvl>
  </w:abstractNum>
  <w:abstractNum w:abstractNumId="49">
    <w:nsid w:val="FEFA2650"/>
    <w:multiLevelType w:val="singleLevel"/>
    <w:tmpl w:val="FEFA2650"/>
    <w:lvl w:ilvl="0" w:tentative="0">
      <w:start w:val="1"/>
      <w:numFmt w:val="decimal"/>
      <w:suff w:val="nothing"/>
      <w:lvlText w:val="（%1）"/>
      <w:lvlJc w:val="left"/>
      <w:pPr>
        <w:ind w:left="0" w:firstLine="480"/>
      </w:pPr>
      <w:rPr>
        <w:rFonts w:hint="default"/>
      </w:rPr>
    </w:lvl>
  </w:abstractNum>
  <w:abstractNum w:abstractNumId="50">
    <w:nsid w:val="FF349656"/>
    <w:multiLevelType w:val="singleLevel"/>
    <w:tmpl w:val="FF349656"/>
    <w:lvl w:ilvl="0" w:tentative="0">
      <w:start w:val="1"/>
      <w:numFmt w:val="decimal"/>
      <w:lvlText w:val="9.%1"/>
      <w:lvlJc w:val="left"/>
      <w:pPr>
        <w:tabs>
          <w:tab w:val="left" w:pos="210"/>
        </w:tabs>
        <w:ind w:left="0" w:firstLine="0"/>
      </w:pPr>
      <w:rPr>
        <w:rFonts w:hint="default"/>
      </w:rPr>
    </w:lvl>
  </w:abstractNum>
  <w:abstractNum w:abstractNumId="51">
    <w:nsid w:val="FFBEA8C2"/>
    <w:multiLevelType w:val="singleLevel"/>
    <w:tmpl w:val="FFBEA8C2"/>
    <w:lvl w:ilvl="0" w:tentative="0">
      <w:start w:val="1"/>
      <w:numFmt w:val="decimal"/>
      <w:lvlText w:val="3.2.%1"/>
      <w:lvlJc w:val="left"/>
      <w:pPr>
        <w:tabs>
          <w:tab w:val="left" w:pos="210"/>
        </w:tabs>
        <w:ind w:left="0" w:firstLine="480"/>
      </w:pPr>
      <w:rPr>
        <w:rFonts w:hint="default"/>
      </w:rPr>
    </w:lvl>
  </w:abstractNum>
  <w:abstractNum w:abstractNumId="52">
    <w:nsid w:val="FFCF4428"/>
    <w:multiLevelType w:val="singleLevel"/>
    <w:tmpl w:val="FFCF4428"/>
    <w:lvl w:ilvl="0" w:tentative="0">
      <w:start w:val="1"/>
      <w:numFmt w:val="decimal"/>
      <w:lvlText w:val="2.3.%1"/>
      <w:lvlJc w:val="left"/>
      <w:pPr>
        <w:tabs>
          <w:tab w:val="left" w:pos="210"/>
        </w:tabs>
        <w:ind w:left="0" w:firstLine="480"/>
      </w:pPr>
      <w:rPr>
        <w:rFonts w:hint="default"/>
      </w:rPr>
    </w:lvl>
  </w:abstractNum>
  <w:abstractNum w:abstractNumId="53">
    <w:nsid w:val="FFFD2F00"/>
    <w:multiLevelType w:val="singleLevel"/>
    <w:tmpl w:val="FFFD2F00"/>
    <w:lvl w:ilvl="0" w:tentative="0">
      <w:start w:val="1"/>
      <w:numFmt w:val="decimal"/>
      <w:suff w:val="nothing"/>
      <w:lvlText w:val="%1、"/>
      <w:lvlJc w:val="left"/>
      <w:pPr>
        <w:ind w:left="0" w:firstLine="480"/>
      </w:pPr>
      <w:rPr>
        <w:rFonts w:hint="default"/>
      </w:rPr>
    </w:lvl>
  </w:abstractNum>
  <w:abstractNum w:abstractNumId="54">
    <w:nsid w:val="FFFE5691"/>
    <w:multiLevelType w:val="singleLevel"/>
    <w:tmpl w:val="FFFE5691"/>
    <w:lvl w:ilvl="0" w:tentative="0">
      <w:start w:val="1"/>
      <w:numFmt w:val="decimal"/>
      <w:lvlText w:val="3.1.%1"/>
      <w:lvlJc w:val="left"/>
      <w:pPr>
        <w:tabs>
          <w:tab w:val="left" w:pos="210"/>
        </w:tabs>
        <w:ind w:left="0" w:firstLine="480"/>
      </w:pPr>
      <w:rPr>
        <w:rFonts w:hint="default"/>
      </w:rPr>
    </w:lvl>
  </w:abstractNum>
  <w:abstractNum w:abstractNumId="55">
    <w:nsid w:val="00000001"/>
    <w:multiLevelType w:val="multilevel"/>
    <w:tmpl w:val="00000001"/>
    <w:lvl w:ilvl="0" w:tentative="0">
      <w:start w:val="1"/>
      <w:numFmt w:val="chineseCounting"/>
      <w:suff w:val="nothing"/>
      <w:lvlText w:val="第%1章 "/>
      <w:lvlJc w:val="left"/>
      <w:pPr>
        <w:tabs>
          <w:tab w:val="left" w:pos="-3088"/>
        </w:tabs>
        <w:ind w:left="992" w:firstLine="0"/>
      </w:pPr>
      <w:rPr>
        <w:rFonts w:hint="eastAsia" w:ascii="宋体" w:hAnsi="宋体" w:eastAsia="宋体" w:cs="宋体"/>
      </w:rPr>
    </w:lvl>
    <w:lvl w:ilvl="1" w:tentative="0">
      <w:start w:val="1"/>
      <w:numFmt w:val="chineseCounting"/>
      <w:pStyle w:val="296"/>
      <w:suff w:val="nothing"/>
      <w:lvlText w:val="%2、"/>
      <w:lvlJc w:val="left"/>
      <w:pPr>
        <w:ind w:left="426" w:firstLine="0"/>
      </w:pPr>
      <w:rPr>
        <w:rFonts w:hint="eastAsia" w:ascii="宋体" w:hAnsi="宋体" w:eastAsia="宋体" w:cs="宋体"/>
      </w:rPr>
    </w:lvl>
    <w:lvl w:ilvl="2" w:tentative="0">
      <w:start w:val="1"/>
      <w:numFmt w:val="chineseCounting"/>
      <w:suff w:val="nothing"/>
      <w:lvlText w:val="(%3)"/>
      <w:lvlJc w:val="left"/>
      <w:pPr>
        <w:tabs>
          <w:tab w:val="left" w:pos="0"/>
        </w:tabs>
        <w:ind w:left="4080" w:firstLine="0"/>
      </w:pPr>
      <w:rPr>
        <w:rFonts w:hint="eastAsia" w:ascii="宋体" w:hAnsi="宋体" w:eastAsia="宋体" w:cs="宋体"/>
      </w:rPr>
    </w:lvl>
    <w:lvl w:ilvl="3" w:tentative="0">
      <w:start w:val="1"/>
      <w:numFmt w:val="decimal"/>
      <w:suff w:val="nothing"/>
      <w:lvlText w:val="%4."/>
      <w:lvlJc w:val="left"/>
      <w:pPr>
        <w:tabs>
          <w:tab w:val="left" w:pos="0"/>
        </w:tabs>
        <w:ind w:left="4080" w:firstLine="0"/>
      </w:pPr>
      <w:rPr>
        <w:rFonts w:hint="eastAsia" w:ascii="宋体" w:hAnsi="宋体" w:eastAsia="宋体" w:cs="宋体"/>
      </w:rPr>
    </w:lvl>
    <w:lvl w:ilvl="4" w:tentative="0">
      <w:start w:val="1"/>
      <w:numFmt w:val="decimal"/>
      <w:suff w:val="nothing"/>
      <w:lvlText w:val="%4.%5"/>
      <w:lvlJc w:val="left"/>
      <w:pPr>
        <w:ind w:left="4080" w:firstLine="0"/>
      </w:pPr>
      <w:rPr>
        <w:rFonts w:hint="eastAsia" w:ascii="宋体" w:hAnsi="宋体" w:eastAsia="宋体" w:cs="宋体"/>
      </w:rPr>
    </w:lvl>
    <w:lvl w:ilvl="5" w:tentative="0">
      <w:start w:val="1"/>
      <w:numFmt w:val="decimal"/>
      <w:suff w:val="nothing"/>
      <w:lvlText w:val="(%6)"/>
      <w:lvlJc w:val="left"/>
      <w:pPr>
        <w:ind w:left="4080" w:firstLine="0"/>
      </w:pPr>
      <w:rPr>
        <w:rFonts w:hint="eastAsia" w:ascii="宋体" w:hAnsi="宋体" w:eastAsia="宋体" w:cs="宋体"/>
      </w:rPr>
    </w:lvl>
    <w:lvl w:ilvl="6" w:tentative="0">
      <w:start w:val="1"/>
      <w:numFmt w:val="lowerLetter"/>
      <w:suff w:val="nothing"/>
      <w:lvlText w:val="%7．"/>
      <w:lvlJc w:val="left"/>
      <w:pPr>
        <w:ind w:left="4080" w:firstLine="402"/>
      </w:pPr>
      <w:rPr>
        <w:rFonts w:hint="eastAsia"/>
      </w:rPr>
    </w:lvl>
    <w:lvl w:ilvl="7" w:tentative="0">
      <w:start w:val="1"/>
      <w:numFmt w:val="lowerLetter"/>
      <w:suff w:val="nothing"/>
      <w:lvlText w:val="%8）"/>
      <w:lvlJc w:val="left"/>
      <w:pPr>
        <w:ind w:left="4080" w:firstLine="402"/>
      </w:pPr>
      <w:rPr>
        <w:rFonts w:hint="eastAsia"/>
      </w:rPr>
    </w:lvl>
    <w:lvl w:ilvl="8" w:tentative="0">
      <w:start w:val="1"/>
      <w:numFmt w:val="lowerRoman"/>
      <w:suff w:val="nothing"/>
      <w:lvlText w:val="%9. "/>
      <w:lvlJc w:val="left"/>
      <w:pPr>
        <w:ind w:left="4080" w:firstLine="402"/>
      </w:pPr>
      <w:rPr>
        <w:rFonts w:hint="eastAsia"/>
      </w:rPr>
    </w:lvl>
  </w:abstractNum>
  <w:abstractNum w:abstractNumId="56">
    <w:nsid w:val="22277B21"/>
    <w:multiLevelType w:val="multilevel"/>
    <w:tmpl w:val="22277B21"/>
    <w:lvl w:ilvl="0" w:tentative="0">
      <w:start w:val="1"/>
      <w:numFmt w:val="bullet"/>
      <w:pStyle w:val="216"/>
      <w:lvlText w:val=""/>
      <w:lvlJc w:val="left"/>
      <w:pPr>
        <w:tabs>
          <w:tab w:val="left" w:pos="3083"/>
        </w:tabs>
        <w:ind w:left="3083" w:hanging="420"/>
      </w:pPr>
      <w:rPr>
        <w:rFonts w:hint="default" w:ascii="Wingdings" w:hAnsi="Wingdings"/>
        <w:b w:val="0"/>
        <w:i w:val="0"/>
        <w:color w:val="000000"/>
        <w:sz w:val="24"/>
        <w:szCs w:val="24"/>
      </w:rPr>
    </w:lvl>
    <w:lvl w:ilvl="1" w:tentative="0">
      <w:start w:val="1"/>
      <w:numFmt w:val="bullet"/>
      <w:lvlText w:val=""/>
      <w:lvlJc w:val="left"/>
      <w:pPr>
        <w:tabs>
          <w:tab w:val="left" w:pos="2963"/>
        </w:tabs>
        <w:ind w:left="2963" w:hanging="420"/>
      </w:pPr>
      <w:rPr>
        <w:rFonts w:hint="default" w:ascii="Wingdings" w:hAnsi="Wingdings"/>
      </w:rPr>
    </w:lvl>
    <w:lvl w:ilvl="2" w:tentative="0">
      <w:start w:val="1"/>
      <w:numFmt w:val="bullet"/>
      <w:lvlText w:val=""/>
      <w:lvlJc w:val="left"/>
      <w:pPr>
        <w:tabs>
          <w:tab w:val="left" w:pos="3383"/>
        </w:tabs>
        <w:ind w:left="3383" w:hanging="420"/>
      </w:pPr>
      <w:rPr>
        <w:rFonts w:hint="default" w:ascii="Wingdings" w:hAnsi="Wingdings"/>
      </w:rPr>
    </w:lvl>
    <w:lvl w:ilvl="3" w:tentative="0">
      <w:start w:val="1"/>
      <w:numFmt w:val="bullet"/>
      <w:lvlText w:val=""/>
      <w:lvlJc w:val="left"/>
      <w:pPr>
        <w:tabs>
          <w:tab w:val="left" w:pos="3803"/>
        </w:tabs>
        <w:ind w:left="3803" w:hanging="420"/>
      </w:pPr>
      <w:rPr>
        <w:rFonts w:hint="default" w:ascii="Wingdings" w:hAnsi="Wingdings"/>
      </w:rPr>
    </w:lvl>
    <w:lvl w:ilvl="4" w:tentative="0">
      <w:start w:val="1"/>
      <w:numFmt w:val="bullet"/>
      <w:lvlText w:val=""/>
      <w:lvlJc w:val="left"/>
      <w:pPr>
        <w:tabs>
          <w:tab w:val="left" w:pos="4223"/>
        </w:tabs>
        <w:ind w:left="4223" w:hanging="420"/>
      </w:pPr>
      <w:rPr>
        <w:rFonts w:hint="default" w:ascii="Wingdings" w:hAnsi="Wingdings"/>
      </w:rPr>
    </w:lvl>
    <w:lvl w:ilvl="5" w:tentative="0">
      <w:start w:val="1"/>
      <w:numFmt w:val="bullet"/>
      <w:lvlText w:val=""/>
      <w:lvlJc w:val="left"/>
      <w:pPr>
        <w:tabs>
          <w:tab w:val="left" w:pos="4643"/>
        </w:tabs>
        <w:ind w:left="4643" w:hanging="420"/>
      </w:pPr>
      <w:rPr>
        <w:rFonts w:hint="default" w:ascii="Wingdings" w:hAnsi="Wingdings"/>
      </w:rPr>
    </w:lvl>
    <w:lvl w:ilvl="6" w:tentative="0">
      <w:start w:val="1"/>
      <w:numFmt w:val="bullet"/>
      <w:lvlText w:val=""/>
      <w:lvlJc w:val="left"/>
      <w:pPr>
        <w:tabs>
          <w:tab w:val="left" w:pos="5063"/>
        </w:tabs>
        <w:ind w:left="5063" w:hanging="420"/>
      </w:pPr>
      <w:rPr>
        <w:rFonts w:hint="default" w:ascii="Wingdings" w:hAnsi="Wingdings"/>
      </w:rPr>
    </w:lvl>
    <w:lvl w:ilvl="7" w:tentative="0">
      <w:start w:val="1"/>
      <w:numFmt w:val="bullet"/>
      <w:lvlText w:val=""/>
      <w:lvlJc w:val="left"/>
      <w:pPr>
        <w:tabs>
          <w:tab w:val="left" w:pos="5483"/>
        </w:tabs>
        <w:ind w:left="5483" w:hanging="420"/>
      </w:pPr>
      <w:rPr>
        <w:rFonts w:hint="default" w:ascii="Wingdings" w:hAnsi="Wingdings"/>
      </w:rPr>
    </w:lvl>
    <w:lvl w:ilvl="8" w:tentative="0">
      <w:start w:val="1"/>
      <w:numFmt w:val="bullet"/>
      <w:lvlText w:val=""/>
      <w:lvlJc w:val="left"/>
      <w:pPr>
        <w:tabs>
          <w:tab w:val="left" w:pos="5903"/>
        </w:tabs>
        <w:ind w:left="5903" w:hanging="420"/>
      </w:pPr>
      <w:rPr>
        <w:rFonts w:hint="default" w:ascii="Wingdings" w:hAnsi="Wingdings"/>
      </w:rPr>
    </w:lvl>
  </w:abstractNum>
  <w:abstractNum w:abstractNumId="57">
    <w:nsid w:val="25AA1FEC"/>
    <w:multiLevelType w:val="multilevel"/>
    <w:tmpl w:val="25AA1FEC"/>
    <w:lvl w:ilvl="0" w:tentative="0">
      <w:start w:val="3"/>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8">
    <w:nsid w:val="3DBC33AD"/>
    <w:multiLevelType w:val="singleLevel"/>
    <w:tmpl w:val="3DBC33AD"/>
    <w:lvl w:ilvl="0" w:tentative="0">
      <w:start w:val="1"/>
      <w:numFmt w:val="decimal"/>
      <w:lvlText w:val="1.11.%1"/>
      <w:lvlJc w:val="left"/>
      <w:pPr>
        <w:tabs>
          <w:tab w:val="left" w:pos="210"/>
        </w:tabs>
        <w:ind w:left="0" w:firstLine="480"/>
      </w:pPr>
      <w:rPr>
        <w:rFonts w:hint="default"/>
      </w:rPr>
    </w:lvl>
  </w:abstractNum>
  <w:abstractNum w:abstractNumId="59">
    <w:nsid w:val="3FDE5455"/>
    <w:multiLevelType w:val="singleLevel"/>
    <w:tmpl w:val="3FDE5455"/>
    <w:lvl w:ilvl="0" w:tentative="0">
      <w:start w:val="1"/>
      <w:numFmt w:val="decimal"/>
      <w:lvlText w:val="6.%1"/>
      <w:lvlJc w:val="left"/>
      <w:pPr>
        <w:tabs>
          <w:tab w:val="left" w:pos="210"/>
        </w:tabs>
        <w:ind w:left="0" w:firstLine="0"/>
      </w:pPr>
      <w:rPr>
        <w:rFonts w:hint="default"/>
      </w:rPr>
    </w:lvl>
  </w:abstractNum>
  <w:abstractNum w:abstractNumId="60">
    <w:nsid w:val="4EDE2311"/>
    <w:multiLevelType w:val="singleLevel"/>
    <w:tmpl w:val="4EDE2311"/>
    <w:lvl w:ilvl="0" w:tentative="0">
      <w:start w:val="1"/>
      <w:numFmt w:val="decimal"/>
      <w:suff w:val="nothing"/>
      <w:lvlText w:val="（%1）"/>
      <w:lvlJc w:val="left"/>
      <w:pPr>
        <w:ind w:left="0" w:firstLine="480"/>
      </w:pPr>
      <w:rPr>
        <w:rFonts w:hint="default"/>
      </w:rPr>
    </w:lvl>
  </w:abstractNum>
  <w:abstractNum w:abstractNumId="61">
    <w:nsid w:val="575F5236"/>
    <w:multiLevelType w:val="singleLevel"/>
    <w:tmpl w:val="575F5236"/>
    <w:lvl w:ilvl="0" w:tentative="0">
      <w:start w:val="1"/>
      <w:numFmt w:val="decimal"/>
      <w:lvlText w:val="1.%1"/>
      <w:lvlJc w:val="left"/>
      <w:pPr>
        <w:tabs>
          <w:tab w:val="left" w:pos="210"/>
        </w:tabs>
        <w:ind w:left="0" w:firstLine="0"/>
      </w:pPr>
      <w:rPr>
        <w:rFonts w:hint="default"/>
      </w:rPr>
    </w:lvl>
  </w:abstractNum>
  <w:abstractNum w:abstractNumId="62">
    <w:nsid w:val="5DC7206A"/>
    <w:multiLevelType w:val="singleLevel"/>
    <w:tmpl w:val="5DC7206A"/>
    <w:lvl w:ilvl="0" w:tentative="0">
      <w:start w:val="1"/>
      <w:numFmt w:val="decimal"/>
      <w:lvlText w:val="6.1.%1"/>
      <w:lvlJc w:val="left"/>
      <w:pPr>
        <w:tabs>
          <w:tab w:val="left" w:pos="210"/>
        </w:tabs>
        <w:ind w:left="0" w:firstLine="480"/>
      </w:pPr>
      <w:rPr>
        <w:rFonts w:hint="default"/>
      </w:rPr>
    </w:lvl>
  </w:abstractNum>
  <w:abstractNum w:abstractNumId="63">
    <w:nsid w:val="5DFE13AA"/>
    <w:multiLevelType w:val="singleLevel"/>
    <w:tmpl w:val="5DFE13AA"/>
    <w:lvl w:ilvl="0" w:tentative="0">
      <w:start w:val="1"/>
      <w:numFmt w:val="decimal"/>
      <w:suff w:val="nothing"/>
      <w:lvlText w:val="（%1）"/>
      <w:lvlJc w:val="left"/>
      <w:pPr>
        <w:ind w:left="0" w:firstLine="480"/>
      </w:pPr>
      <w:rPr>
        <w:rFonts w:hint="default"/>
      </w:rPr>
    </w:lvl>
  </w:abstractNum>
  <w:abstractNum w:abstractNumId="64">
    <w:nsid w:val="5EC38723"/>
    <w:multiLevelType w:val="multilevel"/>
    <w:tmpl w:val="5EC38723"/>
    <w:lvl w:ilvl="0" w:tentative="0">
      <w:start w:val="1"/>
      <w:numFmt w:val="chineseCounting"/>
      <w:suff w:val="nothing"/>
      <w:lvlText w:val="第%1条 "/>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5">
    <w:nsid w:val="5EC3872E"/>
    <w:multiLevelType w:val="multilevel"/>
    <w:tmpl w:val="5EC3872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6">
    <w:nsid w:val="5EC38739"/>
    <w:multiLevelType w:val="multilevel"/>
    <w:tmpl w:val="5EC38739"/>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7">
    <w:nsid w:val="5EC38744"/>
    <w:multiLevelType w:val="multilevel"/>
    <w:tmpl w:val="5EC38744"/>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8">
    <w:nsid w:val="5EC3874F"/>
    <w:multiLevelType w:val="multilevel"/>
    <w:tmpl w:val="5EC3874F"/>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9">
    <w:nsid w:val="5EC3875A"/>
    <w:multiLevelType w:val="multilevel"/>
    <w:tmpl w:val="5EC3875A"/>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0">
    <w:nsid w:val="5EC38765"/>
    <w:multiLevelType w:val="multilevel"/>
    <w:tmpl w:val="5EC38765"/>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1">
    <w:nsid w:val="5EC38770"/>
    <w:multiLevelType w:val="multilevel"/>
    <w:tmpl w:val="5EC3877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2">
    <w:nsid w:val="5EC3877B"/>
    <w:multiLevelType w:val="multilevel"/>
    <w:tmpl w:val="5EC3877B"/>
    <w:lvl w:ilvl="0" w:tentative="0">
      <w:start w:val="1"/>
      <w:numFmt w:val="decimal"/>
      <w:suff w:val="nothing"/>
      <w:lvlText w:val="（%1）"/>
      <w:lvlJc w:val="left"/>
      <w:pPr>
        <w:ind w:left="0" w:firstLine="42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3">
    <w:nsid w:val="5EC38786"/>
    <w:multiLevelType w:val="multilevel"/>
    <w:tmpl w:val="5EC38786"/>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4">
    <w:nsid w:val="5EC38791"/>
    <w:multiLevelType w:val="multilevel"/>
    <w:tmpl w:val="5EC3879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5">
    <w:nsid w:val="5FAE16BB"/>
    <w:multiLevelType w:val="singleLevel"/>
    <w:tmpl w:val="5FAE16BB"/>
    <w:lvl w:ilvl="0" w:tentative="0">
      <w:start w:val="1"/>
      <w:numFmt w:val="decimal"/>
      <w:lvlText w:val="1.12.%1"/>
      <w:lvlJc w:val="left"/>
      <w:pPr>
        <w:tabs>
          <w:tab w:val="left" w:pos="210"/>
        </w:tabs>
        <w:ind w:left="0" w:firstLine="480"/>
      </w:pPr>
      <w:rPr>
        <w:rFonts w:hint="default"/>
      </w:rPr>
    </w:lvl>
  </w:abstractNum>
  <w:abstractNum w:abstractNumId="76">
    <w:nsid w:val="6A176040"/>
    <w:multiLevelType w:val="singleLevel"/>
    <w:tmpl w:val="6A176040"/>
    <w:lvl w:ilvl="0" w:tentative="0">
      <w:start w:val="1"/>
      <w:numFmt w:val="decimal"/>
      <w:lvlText w:val="2.%1"/>
      <w:lvlJc w:val="left"/>
      <w:pPr>
        <w:tabs>
          <w:tab w:val="left" w:pos="210"/>
        </w:tabs>
        <w:ind w:left="0" w:firstLine="0"/>
      </w:pPr>
      <w:rPr>
        <w:rFonts w:hint="default"/>
      </w:rPr>
    </w:lvl>
  </w:abstractNum>
  <w:abstractNum w:abstractNumId="77">
    <w:nsid w:val="6ED82CC9"/>
    <w:multiLevelType w:val="singleLevel"/>
    <w:tmpl w:val="6ED82CC9"/>
    <w:lvl w:ilvl="0" w:tentative="0">
      <w:start w:val="1"/>
      <w:numFmt w:val="decimal"/>
      <w:suff w:val="nothing"/>
      <w:lvlText w:val="（%1）"/>
      <w:lvlJc w:val="left"/>
      <w:pPr>
        <w:ind w:left="0" w:firstLine="480"/>
      </w:pPr>
      <w:rPr>
        <w:rFonts w:hint="default"/>
      </w:rPr>
    </w:lvl>
  </w:abstractNum>
  <w:abstractNum w:abstractNumId="78">
    <w:nsid w:val="6FB6AC01"/>
    <w:multiLevelType w:val="singleLevel"/>
    <w:tmpl w:val="6FB6AC01"/>
    <w:lvl w:ilvl="0" w:tentative="0">
      <w:start w:val="1"/>
      <w:numFmt w:val="decimal"/>
      <w:lvlText w:val="3.2.%1"/>
      <w:lvlJc w:val="left"/>
      <w:pPr>
        <w:tabs>
          <w:tab w:val="left" w:pos="210"/>
        </w:tabs>
        <w:ind w:left="0" w:firstLine="480"/>
      </w:pPr>
      <w:rPr>
        <w:rFonts w:hint="default"/>
      </w:rPr>
    </w:lvl>
  </w:abstractNum>
  <w:abstractNum w:abstractNumId="79">
    <w:nsid w:val="76C82D66"/>
    <w:multiLevelType w:val="multilevel"/>
    <w:tmpl w:val="76C82D66"/>
    <w:lvl w:ilvl="0" w:tentative="0">
      <w:start w:val="1"/>
      <w:numFmt w:val="bullet"/>
      <w:pStyle w:val="251"/>
      <w:lvlText w:val=""/>
      <w:lvlJc w:val="left"/>
      <w:pPr>
        <w:tabs>
          <w:tab w:val="left" w:pos="3114"/>
        </w:tabs>
        <w:ind w:left="3114" w:hanging="420"/>
      </w:pPr>
      <w:rPr>
        <w:rFonts w:hint="default" w:ascii="Wingdings" w:hAnsi="Wingdings"/>
        <w:b w:val="0"/>
        <w:i w:val="0"/>
        <w:color w:val="800000"/>
        <w:sz w:val="21"/>
        <w:szCs w:val="21"/>
        <w:lang w:eastAsia="zh-CN"/>
      </w:rPr>
    </w:lvl>
    <w:lvl w:ilvl="1" w:tentative="0">
      <w:start w:val="1"/>
      <w:numFmt w:val="lowerLetter"/>
      <w:lvlText w:val="%2)"/>
      <w:lvlJc w:val="left"/>
      <w:pPr>
        <w:tabs>
          <w:tab w:val="left" w:pos="3054"/>
        </w:tabs>
        <w:ind w:left="3054" w:hanging="420"/>
      </w:pPr>
    </w:lvl>
    <w:lvl w:ilvl="2" w:tentative="0">
      <w:start w:val="1"/>
      <w:numFmt w:val="lowerRoman"/>
      <w:lvlText w:val="%3."/>
      <w:lvlJc w:val="right"/>
      <w:pPr>
        <w:tabs>
          <w:tab w:val="left" w:pos="3474"/>
        </w:tabs>
        <w:ind w:left="3474" w:hanging="420"/>
      </w:pPr>
    </w:lvl>
    <w:lvl w:ilvl="3" w:tentative="0">
      <w:start w:val="1"/>
      <w:numFmt w:val="decimal"/>
      <w:lvlText w:val="%4."/>
      <w:lvlJc w:val="left"/>
      <w:pPr>
        <w:tabs>
          <w:tab w:val="left" w:pos="3708"/>
        </w:tabs>
        <w:ind w:left="3708" w:hanging="420"/>
      </w:pPr>
    </w:lvl>
    <w:lvl w:ilvl="4" w:tentative="0">
      <w:start w:val="1"/>
      <w:numFmt w:val="lowerLetter"/>
      <w:lvlText w:val="%5)"/>
      <w:lvlJc w:val="left"/>
      <w:pPr>
        <w:tabs>
          <w:tab w:val="left" w:pos="4314"/>
        </w:tabs>
        <w:ind w:left="4314" w:hanging="420"/>
      </w:pPr>
    </w:lvl>
    <w:lvl w:ilvl="5" w:tentative="0">
      <w:start w:val="1"/>
      <w:numFmt w:val="lowerRoman"/>
      <w:lvlText w:val="%6."/>
      <w:lvlJc w:val="right"/>
      <w:pPr>
        <w:tabs>
          <w:tab w:val="left" w:pos="4734"/>
        </w:tabs>
        <w:ind w:left="4734" w:hanging="420"/>
      </w:pPr>
    </w:lvl>
    <w:lvl w:ilvl="6" w:tentative="0">
      <w:start w:val="1"/>
      <w:numFmt w:val="decimal"/>
      <w:lvlText w:val="%7."/>
      <w:lvlJc w:val="left"/>
      <w:pPr>
        <w:tabs>
          <w:tab w:val="left" w:pos="5154"/>
        </w:tabs>
        <w:ind w:left="5154" w:hanging="420"/>
      </w:pPr>
    </w:lvl>
    <w:lvl w:ilvl="7" w:tentative="0">
      <w:start w:val="1"/>
      <w:numFmt w:val="lowerLetter"/>
      <w:lvlText w:val="%8)"/>
      <w:lvlJc w:val="left"/>
      <w:pPr>
        <w:tabs>
          <w:tab w:val="left" w:pos="5574"/>
        </w:tabs>
        <w:ind w:left="5574" w:hanging="420"/>
      </w:pPr>
    </w:lvl>
    <w:lvl w:ilvl="8" w:tentative="0">
      <w:start w:val="1"/>
      <w:numFmt w:val="lowerRoman"/>
      <w:lvlText w:val="%9."/>
      <w:lvlJc w:val="right"/>
      <w:pPr>
        <w:tabs>
          <w:tab w:val="left" w:pos="5994"/>
        </w:tabs>
        <w:ind w:left="5994" w:hanging="420"/>
      </w:pPr>
    </w:lvl>
  </w:abstractNum>
  <w:abstractNum w:abstractNumId="80">
    <w:nsid w:val="77BA488C"/>
    <w:multiLevelType w:val="singleLevel"/>
    <w:tmpl w:val="77BA488C"/>
    <w:lvl w:ilvl="0" w:tentative="0">
      <w:start w:val="1"/>
      <w:numFmt w:val="decimal"/>
      <w:suff w:val="nothing"/>
      <w:lvlText w:val="（%1）"/>
      <w:lvlJc w:val="left"/>
      <w:pPr>
        <w:ind w:left="0" w:firstLine="480"/>
      </w:pPr>
      <w:rPr>
        <w:rFonts w:hint="default"/>
      </w:rPr>
    </w:lvl>
  </w:abstractNum>
  <w:abstractNum w:abstractNumId="81">
    <w:nsid w:val="792E2036"/>
    <w:multiLevelType w:val="singleLevel"/>
    <w:tmpl w:val="792E2036"/>
    <w:lvl w:ilvl="0" w:tentative="0">
      <w:start w:val="5"/>
      <w:numFmt w:val="chineseCounting"/>
      <w:lvlText w:val="第%1章"/>
      <w:lvlJc w:val="left"/>
      <w:pPr>
        <w:tabs>
          <w:tab w:val="left" w:pos="210"/>
        </w:tabs>
        <w:ind w:left="0" w:firstLine="0"/>
      </w:pPr>
      <w:rPr>
        <w:rFonts w:hint="eastAsia"/>
      </w:rPr>
    </w:lvl>
  </w:abstractNum>
  <w:abstractNum w:abstractNumId="82">
    <w:nsid w:val="7BCE97C4"/>
    <w:multiLevelType w:val="singleLevel"/>
    <w:tmpl w:val="7BCE97C4"/>
    <w:lvl w:ilvl="0" w:tentative="0">
      <w:start w:val="1"/>
      <w:numFmt w:val="decimal"/>
      <w:lvlText w:val="3.%1"/>
      <w:lvlJc w:val="left"/>
      <w:pPr>
        <w:tabs>
          <w:tab w:val="left" w:pos="210"/>
        </w:tabs>
        <w:ind w:left="0" w:firstLine="0"/>
      </w:pPr>
      <w:rPr>
        <w:rFonts w:hint="default"/>
      </w:rPr>
    </w:lvl>
  </w:abstractNum>
  <w:abstractNum w:abstractNumId="83">
    <w:nsid w:val="7EBF8FD3"/>
    <w:multiLevelType w:val="singleLevel"/>
    <w:tmpl w:val="7EBF8FD3"/>
    <w:lvl w:ilvl="0" w:tentative="0">
      <w:start w:val="1"/>
      <w:numFmt w:val="decimal"/>
      <w:lvlText w:val="3.7.%1"/>
      <w:lvlJc w:val="left"/>
      <w:pPr>
        <w:tabs>
          <w:tab w:val="left" w:pos="210"/>
        </w:tabs>
        <w:ind w:left="0" w:firstLine="480"/>
      </w:pPr>
      <w:rPr>
        <w:rFonts w:hint="default"/>
      </w:rPr>
    </w:lvl>
  </w:abstractNum>
  <w:abstractNum w:abstractNumId="84">
    <w:nsid w:val="7F6F87BC"/>
    <w:multiLevelType w:val="singleLevel"/>
    <w:tmpl w:val="7F6F87BC"/>
    <w:lvl w:ilvl="0" w:tentative="0">
      <w:start w:val="1"/>
      <w:numFmt w:val="decimal"/>
      <w:lvlText w:val="5.%1"/>
      <w:lvlJc w:val="left"/>
      <w:pPr>
        <w:tabs>
          <w:tab w:val="left" w:pos="210"/>
        </w:tabs>
        <w:ind w:left="0" w:firstLine="480"/>
      </w:pPr>
      <w:rPr>
        <w:rFonts w:hint="default"/>
      </w:rPr>
    </w:lvl>
  </w:abstractNum>
  <w:abstractNum w:abstractNumId="85">
    <w:nsid w:val="7FF74985"/>
    <w:multiLevelType w:val="singleLevel"/>
    <w:tmpl w:val="7FF74985"/>
    <w:lvl w:ilvl="0" w:tentative="0">
      <w:start w:val="2"/>
      <w:numFmt w:val="chineseCounting"/>
      <w:lvlText w:val="第%1章"/>
      <w:lvlJc w:val="left"/>
      <w:pPr>
        <w:tabs>
          <w:tab w:val="left" w:pos="210"/>
        </w:tabs>
        <w:ind w:left="0" w:firstLine="0"/>
      </w:pPr>
      <w:rPr>
        <w:rFonts w:hint="eastAsia"/>
      </w:rPr>
    </w:lvl>
  </w:abstractNum>
  <w:abstractNum w:abstractNumId="86">
    <w:nsid w:val="7FFE02EA"/>
    <w:multiLevelType w:val="singleLevel"/>
    <w:tmpl w:val="7FFE02EA"/>
    <w:lvl w:ilvl="0" w:tentative="0">
      <w:start w:val="1"/>
      <w:numFmt w:val="decimal"/>
      <w:lvlText w:val="3.%1"/>
      <w:lvlJc w:val="left"/>
      <w:pPr>
        <w:tabs>
          <w:tab w:val="left" w:pos="210"/>
        </w:tabs>
        <w:ind w:left="0" w:firstLine="0"/>
      </w:pPr>
      <w:rPr>
        <w:rFonts w:hint="default"/>
      </w:rPr>
    </w:lvl>
  </w:abstractNum>
  <w:num w:numId="1">
    <w:abstractNumId w:val="56"/>
  </w:num>
  <w:num w:numId="2">
    <w:abstractNumId w:val="79"/>
  </w:num>
  <w:num w:numId="3">
    <w:abstractNumId w:val="55"/>
  </w:num>
  <w:num w:numId="4">
    <w:abstractNumId w:val="42"/>
  </w:num>
  <w:num w:numId="5">
    <w:abstractNumId w:val="33"/>
  </w:num>
  <w:num w:numId="6">
    <w:abstractNumId w:val="82"/>
  </w:num>
  <w:num w:numId="7">
    <w:abstractNumId w:val="35"/>
  </w:num>
  <w:num w:numId="8">
    <w:abstractNumId w:val="84"/>
  </w:num>
  <w:num w:numId="9">
    <w:abstractNumId w:val="85"/>
  </w:num>
  <w:num w:numId="10">
    <w:abstractNumId w:val="36"/>
  </w:num>
  <w:num w:numId="11">
    <w:abstractNumId w:val="61"/>
  </w:num>
  <w:num w:numId="12">
    <w:abstractNumId w:val="29"/>
  </w:num>
  <w:num w:numId="13">
    <w:abstractNumId w:val="6"/>
  </w:num>
  <w:num w:numId="14">
    <w:abstractNumId w:val="40"/>
  </w:num>
  <w:num w:numId="15">
    <w:abstractNumId w:val="32"/>
  </w:num>
  <w:num w:numId="16">
    <w:abstractNumId w:val="45"/>
  </w:num>
  <w:num w:numId="17">
    <w:abstractNumId w:val="31"/>
  </w:num>
  <w:num w:numId="18">
    <w:abstractNumId w:val="22"/>
  </w:num>
  <w:num w:numId="19">
    <w:abstractNumId w:val="47"/>
  </w:num>
  <w:num w:numId="20">
    <w:abstractNumId w:val="58"/>
  </w:num>
  <w:num w:numId="21">
    <w:abstractNumId w:val="75"/>
  </w:num>
  <w:num w:numId="22">
    <w:abstractNumId w:val="76"/>
  </w:num>
  <w:num w:numId="23">
    <w:abstractNumId w:val="1"/>
  </w:num>
  <w:num w:numId="24">
    <w:abstractNumId w:val="13"/>
  </w:num>
  <w:num w:numId="25">
    <w:abstractNumId w:val="52"/>
  </w:num>
  <w:num w:numId="26">
    <w:abstractNumId w:val="54"/>
  </w:num>
  <w:num w:numId="27">
    <w:abstractNumId w:val="78"/>
  </w:num>
  <w:num w:numId="28">
    <w:abstractNumId w:val="16"/>
  </w:num>
  <w:num w:numId="29">
    <w:abstractNumId w:val="3"/>
  </w:num>
  <w:num w:numId="30">
    <w:abstractNumId w:val="49"/>
  </w:num>
  <w:num w:numId="31">
    <w:abstractNumId w:val="10"/>
  </w:num>
  <w:num w:numId="32">
    <w:abstractNumId w:val="57"/>
  </w:num>
  <w:num w:numId="33">
    <w:abstractNumId w:val="25"/>
  </w:num>
  <w:num w:numId="34">
    <w:abstractNumId w:val="83"/>
  </w:num>
  <w:num w:numId="35">
    <w:abstractNumId w:val="23"/>
  </w:num>
  <w:num w:numId="36">
    <w:abstractNumId w:val="37"/>
  </w:num>
  <w:num w:numId="37">
    <w:abstractNumId w:val="5"/>
  </w:num>
  <w:num w:numId="38">
    <w:abstractNumId w:val="17"/>
  </w:num>
  <w:num w:numId="39">
    <w:abstractNumId w:val="20"/>
  </w:num>
  <w:num w:numId="40">
    <w:abstractNumId w:val="8"/>
  </w:num>
  <w:num w:numId="41">
    <w:abstractNumId w:val="26"/>
  </w:num>
  <w:num w:numId="42">
    <w:abstractNumId w:val="59"/>
  </w:num>
  <w:num w:numId="43">
    <w:abstractNumId w:val="62"/>
  </w:num>
  <w:num w:numId="44">
    <w:abstractNumId w:val="19"/>
  </w:num>
  <w:num w:numId="45">
    <w:abstractNumId w:val="11"/>
  </w:num>
  <w:num w:numId="46">
    <w:abstractNumId w:val="38"/>
  </w:num>
  <w:num w:numId="47">
    <w:abstractNumId w:val="39"/>
  </w:num>
  <w:num w:numId="48">
    <w:abstractNumId w:val="21"/>
  </w:num>
  <w:num w:numId="49">
    <w:abstractNumId w:val="4"/>
  </w:num>
  <w:num w:numId="50">
    <w:abstractNumId w:val="77"/>
  </w:num>
  <w:num w:numId="51">
    <w:abstractNumId w:val="50"/>
  </w:num>
  <w:num w:numId="52">
    <w:abstractNumId w:val="27"/>
  </w:num>
  <w:num w:numId="53">
    <w:abstractNumId w:val="15"/>
  </w:num>
  <w:num w:numId="54">
    <w:abstractNumId w:val="44"/>
  </w:num>
  <w:num w:numId="55">
    <w:abstractNumId w:val="24"/>
  </w:num>
  <w:num w:numId="56">
    <w:abstractNumId w:val="30"/>
  </w:num>
  <w:num w:numId="57">
    <w:abstractNumId w:val="63"/>
  </w:num>
  <w:num w:numId="58">
    <w:abstractNumId w:val="86"/>
  </w:num>
  <w:num w:numId="59">
    <w:abstractNumId w:val="43"/>
  </w:num>
  <w:num w:numId="60">
    <w:abstractNumId w:val="14"/>
  </w:num>
  <w:num w:numId="61">
    <w:abstractNumId w:val="60"/>
  </w:num>
  <w:num w:numId="62">
    <w:abstractNumId w:val="51"/>
  </w:num>
  <w:num w:numId="63">
    <w:abstractNumId w:val="28"/>
  </w:num>
  <w:num w:numId="64">
    <w:abstractNumId w:val="0"/>
  </w:num>
  <w:num w:numId="65">
    <w:abstractNumId w:val="41"/>
  </w:num>
  <w:num w:numId="66">
    <w:abstractNumId w:val="64"/>
  </w:num>
  <w:num w:numId="67">
    <w:abstractNumId w:val="65"/>
  </w:num>
  <w:num w:numId="68">
    <w:abstractNumId w:val="67"/>
  </w:num>
  <w:num w:numId="69">
    <w:abstractNumId w:val="68"/>
  </w:num>
  <w:num w:numId="70">
    <w:abstractNumId w:val="69"/>
  </w:num>
  <w:num w:numId="71">
    <w:abstractNumId w:val="70"/>
  </w:num>
  <w:num w:numId="72">
    <w:abstractNumId w:val="18"/>
  </w:num>
  <w:num w:numId="73">
    <w:abstractNumId w:val="71"/>
  </w:num>
  <w:num w:numId="74">
    <w:abstractNumId w:val="72"/>
  </w:num>
  <w:num w:numId="75">
    <w:abstractNumId w:val="73"/>
  </w:num>
  <w:num w:numId="76">
    <w:abstractNumId w:val="74"/>
  </w:num>
  <w:num w:numId="77">
    <w:abstractNumId w:val="66"/>
  </w:num>
  <w:num w:numId="78">
    <w:abstractNumId w:val="81"/>
  </w:num>
  <w:num w:numId="79">
    <w:abstractNumId w:val="12"/>
  </w:num>
  <w:num w:numId="80">
    <w:abstractNumId w:val="9"/>
  </w:num>
  <w:num w:numId="81">
    <w:abstractNumId w:val="48"/>
  </w:num>
  <w:num w:numId="82">
    <w:abstractNumId w:val="46"/>
  </w:num>
  <w:num w:numId="83">
    <w:abstractNumId w:val="2"/>
  </w:num>
  <w:num w:numId="84">
    <w:abstractNumId w:val="7"/>
  </w:num>
  <w:num w:numId="85">
    <w:abstractNumId w:val="80"/>
  </w:num>
  <w:num w:numId="86">
    <w:abstractNumId w:val="53"/>
  </w:num>
  <w:num w:numId="87">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部">
    <w15:presenceInfo w15:providerId="WPS Office" w15:userId="809164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ZTdkY2Q2YjJmYTZiNGJhNWVhY2VlYmNjN2UzZTEifQ=="/>
  </w:docVars>
  <w:rsids>
    <w:rsidRoot w:val="00F6443B"/>
    <w:rsid w:val="00000471"/>
    <w:rsid w:val="00000ADA"/>
    <w:rsid w:val="00001121"/>
    <w:rsid w:val="00001378"/>
    <w:rsid w:val="0000179E"/>
    <w:rsid w:val="000029DA"/>
    <w:rsid w:val="0000404D"/>
    <w:rsid w:val="00004052"/>
    <w:rsid w:val="0000438C"/>
    <w:rsid w:val="000044A6"/>
    <w:rsid w:val="0000539F"/>
    <w:rsid w:val="00005801"/>
    <w:rsid w:val="0000641A"/>
    <w:rsid w:val="00006645"/>
    <w:rsid w:val="00006708"/>
    <w:rsid w:val="00006AA8"/>
    <w:rsid w:val="00006BEA"/>
    <w:rsid w:val="00006D5D"/>
    <w:rsid w:val="0000722A"/>
    <w:rsid w:val="00007518"/>
    <w:rsid w:val="00010972"/>
    <w:rsid w:val="00010AB6"/>
    <w:rsid w:val="00011300"/>
    <w:rsid w:val="00011CD8"/>
    <w:rsid w:val="00012597"/>
    <w:rsid w:val="00012907"/>
    <w:rsid w:val="000129E9"/>
    <w:rsid w:val="00012A53"/>
    <w:rsid w:val="00012E26"/>
    <w:rsid w:val="00012F97"/>
    <w:rsid w:val="000136AA"/>
    <w:rsid w:val="00014789"/>
    <w:rsid w:val="00015382"/>
    <w:rsid w:val="000155AD"/>
    <w:rsid w:val="0001597C"/>
    <w:rsid w:val="00015F9C"/>
    <w:rsid w:val="0001645E"/>
    <w:rsid w:val="000173A1"/>
    <w:rsid w:val="000173D8"/>
    <w:rsid w:val="00017CC9"/>
    <w:rsid w:val="00017E2F"/>
    <w:rsid w:val="00020D56"/>
    <w:rsid w:val="00021034"/>
    <w:rsid w:val="0002116B"/>
    <w:rsid w:val="0002124C"/>
    <w:rsid w:val="00021467"/>
    <w:rsid w:val="00021C49"/>
    <w:rsid w:val="00021EEA"/>
    <w:rsid w:val="00022719"/>
    <w:rsid w:val="0002359D"/>
    <w:rsid w:val="00023747"/>
    <w:rsid w:val="00024232"/>
    <w:rsid w:val="0002458B"/>
    <w:rsid w:val="000262A2"/>
    <w:rsid w:val="000263C7"/>
    <w:rsid w:val="0002643A"/>
    <w:rsid w:val="000267B5"/>
    <w:rsid w:val="00026C07"/>
    <w:rsid w:val="00027CC0"/>
    <w:rsid w:val="000301DA"/>
    <w:rsid w:val="000302AB"/>
    <w:rsid w:val="000311A8"/>
    <w:rsid w:val="00031290"/>
    <w:rsid w:val="000319D2"/>
    <w:rsid w:val="00031CE6"/>
    <w:rsid w:val="00031D07"/>
    <w:rsid w:val="0003248F"/>
    <w:rsid w:val="00032E09"/>
    <w:rsid w:val="000331E3"/>
    <w:rsid w:val="00033D28"/>
    <w:rsid w:val="000344E5"/>
    <w:rsid w:val="00034838"/>
    <w:rsid w:val="00034C7B"/>
    <w:rsid w:val="00035525"/>
    <w:rsid w:val="00036228"/>
    <w:rsid w:val="00036254"/>
    <w:rsid w:val="0003645B"/>
    <w:rsid w:val="000368BD"/>
    <w:rsid w:val="0003716D"/>
    <w:rsid w:val="000374F7"/>
    <w:rsid w:val="000379E1"/>
    <w:rsid w:val="00037B56"/>
    <w:rsid w:val="00040454"/>
    <w:rsid w:val="000406BE"/>
    <w:rsid w:val="00040DC1"/>
    <w:rsid w:val="00040DFE"/>
    <w:rsid w:val="00040EF6"/>
    <w:rsid w:val="00042723"/>
    <w:rsid w:val="000429E2"/>
    <w:rsid w:val="00043279"/>
    <w:rsid w:val="000435C7"/>
    <w:rsid w:val="00043E14"/>
    <w:rsid w:val="00043FEA"/>
    <w:rsid w:val="000444D5"/>
    <w:rsid w:val="000455A6"/>
    <w:rsid w:val="000462F1"/>
    <w:rsid w:val="000467CE"/>
    <w:rsid w:val="000468EE"/>
    <w:rsid w:val="000468F9"/>
    <w:rsid w:val="00046EE8"/>
    <w:rsid w:val="000471F0"/>
    <w:rsid w:val="00047310"/>
    <w:rsid w:val="00050189"/>
    <w:rsid w:val="000501CD"/>
    <w:rsid w:val="00050394"/>
    <w:rsid w:val="00050761"/>
    <w:rsid w:val="000509C7"/>
    <w:rsid w:val="00051566"/>
    <w:rsid w:val="00051596"/>
    <w:rsid w:val="00051A7E"/>
    <w:rsid w:val="00052548"/>
    <w:rsid w:val="000525EB"/>
    <w:rsid w:val="000531A1"/>
    <w:rsid w:val="000538D4"/>
    <w:rsid w:val="00054448"/>
    <w:rsid w:val="00054CEC"/>
    <w:rsid w:val="00054EAF"/>
    <w:rsid w:val="000553E8"/>
    <w:rsid w:val="00055653"/>
    <w:rsid w:val="00055704"/>
    <w:rsid w:val="0005570C"/>
    <w:rsid w:val="000565E8"/>
    <w:rsid w:val="0005708A"/>
    <w:rsid w:val="00057ADD"/>
    <w:rsid w:val="00057C9C"/>
    <w:rsid w:val="00057D04"/>
    <w:rsid w:val="00060051"/>
    <w:rsid w:val="0006036A"/>
    <w:rsid w:val="00060558"/>
    <w:rsid w:val="00060D84"/>
    <w:rsid w:val="0006170B"/>
    <w:rsid w:val="000617E7"/>
    <w:rsid w:val="00061DFF"/>
    <w:rsid w:val="00062280"/>
    <w:rsid w:val="00062B86"/>
    <w:rsid w:val="00062E76"/>
    <w:rsid w:val="00063BD0"/>
    <w:rsid w:val="00063D09"/>
    <w:rsid w:val="00064679"/>
    <w:rsid w:val="00064A65"/>
    <w:rsid w:val="00064C87"/>
    <w:rsid w:val="00066153"/>
    <w:rsid w:val="000665DE"/>
    <w:rsid w:val="000671C4"/>
    <w:rsid w:val="0006726B"/>
    <w:rsid w:val="00067564"/>
    <w:rsid w:val="00070303"/>
    <w:rsid w:val="00070A37"/>
    <w:rsid w:val="00070C8F"/>
    <w:rsid w:val="00070EF2"/>
    <w:rsid w:val="0007147D"/>
    <w:rsid w:val="00071843"/>
    <w:rsid w:val="00071B2B"/>
    <w:rsid w:val="00071CA4"/>
    <w:rsid w:val="00071F0C"/>
    <w:rsid w:val="00072902"/>
    <w:rsid w:val="00075362"/>
    <w:rsid w:val="000767E8"/>
    <w:rsid w:val="000768F5"/>
    <w:rsid w:val="000773AC"/>
    <w:rsid w:val="00077CC4"/>
    <w:rsid w:val="00077FC4"/>
    <w:rsid w:val="0008013E"/>
    <w:rsid w:val="00081271"/>
    <w:rsid w:val="00082236"/>
    <w:rsid w:val="0008302B"/>
    <w:rsid w:val="000836A6"/>
    <w:rsid w:val="00083CA0"/>
    <w:rsid w:val="00083E82"/>
    <w:rsid w:val="000848A3"/>
    <w:rsid w:val="000852A4"/>
    <w:rsid w:val="0008599C"/>
    <w:rsid w:val="00085C8A"/>
    <w:rsid w:val="000866F8"/>
    <w:rsid w:val="00087F80"/>
    <w:rsid w:val="00090495"/>
    <w:rsid w:val="00090F20"/>
    <w:rsid w:val="00091117"/>
    <w:rsid w:val="000915D0"/>
    <w:rsid w:val="00091916"/>
    <w:rsid w:val="00091ED9"/>
    <w:rsid w:val="000923D2"/>
    <w:rsid w:val="0009383F"/>
    <w:rsid w:val="00093B27"/>
    <w:rsid w:val="00093D9F"/>
    <w:rsid w:val="000943AA"/>
    <w:rsid w:val="0009578E"/>
    <w:rsid w:val="00095B25"/>
    <w:rsid w:val="00095D61"/>
    <w:rsid w:val="00095FE7"/>
    <w:rsid w:val="00096453"/>
    <w:rsid w:val="000969C6"/>
    <w:rsid w:val="00096E4F"/>
    <w:rsid w:val="000A0FEA"/>
    <w:rsid w:val="000A17A1"/>
    <w:rsid w:val="000A20EB"/>
    <w:rsid w:val="000A21F2"/>
    <w:rsid w:val="000A238C"/>
    <w:rsid w:val="000A2CE8"/>
    <w:rsid w:val="000A3129"/>
    <w:rsid w:val="000A3674"/>
    <w:rsid w:val="000A3E81"/>
    <w:rsid w:val="000A4D0C"/>
    <w:rsid w:val="000A5CA3"/>
    <w:rsid w:val="000A7269"/>
    <w:rsid w:val="000A762D"/>
    <w:rsid w:val="000A7CFC"/>
    <w:rsid w:val="000B094A"/>
    <w:rsid w:val="000B09CE"/>
    <w:rsid w:val="000B0EB6"/>
    <w:rsid w:val="000B0F18"/>
    <w:rsid w:val="000B16F4"/>
    <w:rsid w:val="000B1DA9"/>
    <w:rsid w:val="000B20E2"/>
    <w:rsid w:val="000B3663"/>
    <w:rsid w:val="000B3D2E"/>
    <w:rsid w:val="000B3E98"/>
    <w:rsid w:val="000B45DF"/>
    <w:rsid w:val="000B45F1"/>
    <w:rsid w:val="000B46C2"/>
    <w:rsid w:val="000B5DF0"/>
    <w:rsid w:val="000B60FB"/>
    <w:rsid w:val="000B70D1"/>
    <w:rsid w:val="000C0260"/>
    <w:rsid w:val="000C07F6"/>
    <w:rsid w:val="000C08BA"/>
    <w:rsid w:val="000C1080"/>
    <w:rsid w:val="000C1C9F"/>
    <w:rsid w:val="000C1E04"/>
    <w:rsid w:val="000C20B5"/>
    <w:rsid w:val="000C216C"/>
    <w:rsid w:val="000C29CB"/>
    <w:rsid w:val="000C33F6"/>
    <w:rsid w:val="000C3E76"/>
    <w:rsid w:val="000C3F94"/>
    <w:rsid w:val="000C4056"/>
    <w:rsid w:val="000C5C40"/>
    <w:rsid w:val="000C5CB4"/>
    <w:rsid w:val="000C61E5"/>
    <w:rsid w:val="000C6B4E"/>
    <w:rsid w:val="000C6FF4"/>
    <w:rsid w:val="000C71F5"/>
    <w:rsid w:val="000D049C"/>
    <w:rsid w:val="000D0603"/>
    <w:rsid w:val="000D09E7"/>
    <w:rsid w:val="000D1576"/>
    <w:rsid w:val="000D246E"/>
    <w:rsid w:val="000D288E"/>
    <w:rsid w:val="000D2E11"/>
    <w:rsid w:val="000D2F8D"/>
    <w:rsid w:val="000D5813"/>
    <w:rsid w:val="000D5888"/>
    <w:rsid w:val="000D5AE5"/>
    <w:rsid w:val="000D5C49"/>
    <w:rsid w:val="000D620A"/>
    <w:rsid w:val="000D64F3"/>
    <w:rsid w:val="000D69DD"/>
    <w:rsid w:val="000D7280"/>
    <w:rsid w:val="000D77C1"/>
    <w:rsid w:val="000E001D"/>
    <w:rsid w:val="000E10A1"/>
    <w:rsid w:val="000E1262"/>
    <w:rsid w:val="000E19FC"/>
    <w:rsid w:val="000E1F02"/>
    <w:rsid w:val="000E249B"/>
    <w:rsid w:val="000E25CE"/>
    <w:rsid w:val="000E27C7"/>
    <w:rsid w:val="000E28F1"/>
    <w:rsid w:val="000E298E"/>
    <w:rsid w:val="000E2B2A"/>
    <w:rsid w:val="000E315A"/>
    <w:rsid w:val="000E47BF"/>
    <w:rsid w:val="000E4972"/>
    <w:rsid w:val="000E5370"/>
    <w:rsid w:val="000E59C0"/>
    <w:rsid w:val="000E67B5"/>
    <w:rsid w:val="000E6881"/>
    <w:rsid w:val="000E6EFA"/>
    <w:rsid w:val="000E703E"/>
    <w:rsid w:val="000E7167"/>
    <w:rsid w:val="000F0D0D"/>
    <w:rsid w:val="000F115F"/>
    <w:rsid w:val="000F1A0C"/>
    <w:rsid w:val="000F22EF"/>
    <w:rsid w:val="000F25DC"/>
    <w:rsid w:val="000F3294"/>
    <w:rsid w:val="000F3A3F"/>
    <w:rsid w:val="000F45B1"/>
    <w:rsid w:val="000F47AF"/>
    <w:rsid w:val="000F47B7"/>
    <w:rsid w:val="000F5048"/>
    <w:rsid w:val="000F5605"/>
    <w:rsid w:val="000F678E"/>
    <w:rsid w:val="000F6A7C"/>
    <w:rsid w:val="000F6D34"/>
    <w:rsid w:val="000F75C5"/>
    <w:rsid w:val="000F75EA"/>
    <w:rsid w:val="001006F0"/>
    <w:rsid w:val="001008B7"/>
    <w:rsid w:val="00100AC6"/>
    <w:rsid w:val="001016F3"/>
    <w:rsid w:val="00101EBE"/>
    <w:rsid w:val="001024A7"/>
    <w:rsid w:val="001037F7"/>
    <w:rsid w:val="00104C2F"/>
    <w:rsid w:val="00104C4D"/>
    <w:rsid w:val="001059FE"/>
    <w:rsid w:val="00105C0A"/>
    <w:rsid w:val="00105D27"/>
    <w:rsid w:val="00105E82"/>
    <w:rsid w:val="0010603D"/>
    <w:rsid w:val="00106CB7"/>
    <w:rsid w:val="0010767D"/>
    <w:rsid w:val="00110292"/>
    <w:rsid w:val="001106F4"/>
    <w:rsid w:val="00111BA4"/>
    <w:rsid w:val="00111FEE"/>
    <w:rsid w:val="00112073"/>
    <w:rsid w:val="00112095"/>
    <w:rsid w:val="00112252"/>
    <w:rsid w:val="00113577"/>
    <w:rsid w:val="001139A5"/>
    <w:rsid w:val="00113D1C"/>
    <w:rsid w:val="00114722"/>
    <w:rsid w:val="00114CD6"/>
    <w:rsid w:val="00115430"/>
    <w:rsid w:val="00115A3D"/>
    <w:rsid w:val="00117331"/>
    <w:rsid w:val="001174E6"/>
    <w:rsid w:val="001175E1"/>
    <w:rsid w:val="00120148"/>
    <w:rsid w:val="0012066A"/>
    <w:rsid w:val="0012099F"/>
    <w:rsid w:val="00120C17"/>
    <w:rsid w:val="00120D08"/>
    <w:rsid w:val="00120E2A"/>
    <w:rsid w:val="00120E6E"/>
    <w:rsid w:val="001213AD"/>
    <w:rsid w:val="0012257C"/>
    <w:rsid w:val="0012306A"/>
    <w:rsid w:val="00124D5D"/>
    <w:rsid w:val="00125C24"/>
    <w:rsid w:val="00126851"/>
    <w:rsid w:val="00126CF0"/>
    <w:rsid w:val="001302CB"/>
    <w:rsid w:val="0013032B"/>
    <w:rsid w:val="001314E6"/>
    <w:rsid w:val="00131657"/>
    <w:rsid w:val="00131AA8"/>
    <w:rsid w:val="00132B92"/>
    <w:rsid w:val="00132C2B"/>
    <w:rsid w:val="00133B6B"/>
    <w:rsid w:val="00133C98"/>
    <w:rsid w:val="0013475D"/>
    <w:rsid w:val="0013523D"/>
    <w:rsid w:val="00135412"/>
    <w:rsid w:val="001362C7"/>
    <w:rsid w:val="00136309"/>
    <w:rsid w:val="001369E3"/>
    <w:rsid w:val="00136C6F"/>
    <w:rsid w:val="00136ECE"/>
    <w:rsid w:val="00136F5B"/>
    <w:rsid w:val="00137235"/>
    <w:rsid w:val="00140CF8"/>
    <w:rsid w:val="00140F82"/>
    <w:rsid w:val="00141112"/>
    <w:rsid w:val="001413A6"/>
    <w:rsid w:val="00141729"/>
    <w:rsid w:val="00141B47"/>
    <w:rsid w:val="00142BF6"/>
    <w:rsid w:val="001437A8"/>
    <w:rsid w:val="00143D79"/>
    <w:rsid w:val="00144F69"/>
    <w:rsid w:val="00144F87"/>
    <w:rsid w:val="00144FA4"/>
    <w:rsid w:val="00146070"/>
    <w:rsid w:val="001462D6"/>
    <w:rsid w:val="00146433"/>
    <w:rsid w:val="00146D6C"/>
    <w:rsid w:val="00147204"/>
    <w:rsid w:val="00147345"/>
    <w:rsid w:val="00147EE4"/>
    <w:rsid w:val="00150B60"/>
    <w:rsid w:val="00150EF0"/>
    <w:rsid w:val="00151352"/>
    <w:rsid w:val="0015152D"/>
    <w:rsid w:val="001534F8"/>
    <w:rsid w:val="0015387E"/>
    <w:rsid w:val="00153CC9"/>
    <w:rsid w:val="00155FA8"/>
    <w:rsid w:val="001560A2"/>
    <w:rsid w:val="001560E1"/>
    <w:rsid w:val="0015670E"/>
    <w:rsid w:val="00156972"/>
    <w:rsid w:val="00156E6D"/>
    <w:rsid w:val="001577BF"/>
    <w:rsid w:val="00157AB9"/>
    <w:rsid w:val="00157D40"/>
    <w:rsid w:val="001614E7"/>
    <w:rsid w:val="00161758"/>
    <w:rsid w:val="00161907"/>
    <w:rsid w:val="00161BDC"/>
    <w:rsid w:val="00161EF5"/>
    <w:rsid w:val="00161F13"/>
    <w:rsid w:val="0016269B"/>
    <w:rsid w:val="001631A5"/>
    <w:rsid w:val="00163BB7"/>
    <w:rsid w:val="001645E3"/>
    <w:rsid w:val="00164A65"/>
    <w:rsid w:val="00164EBF"/>
    <w:rsid w:val="001653B3"/>
    <w:rsid w:val="001656C3"/>
    <w:rsid w:val="001668D2"/>
    <w:rsid w:val="00166B33"/>
    <w:rsid w:val="00166BD4"/>
    <w:rsid w:val="00166E43"/>
    <w:rsid w:val="00170549"/>
    <w:rsid w:val="00170869"/>
    <w:rsid w:val="0017090F"/>
    <w:rsid w:val="00170990"/>
    <w:rsid w:val="00170A46"/>
    <w:rsid w:val="00170F47"/>
    <w:rsid w:val="0017133E"/>
    <w:rsid w:val="00171423"/>
    <w:rsid w:val="001715D6"/>
    <w:rsid w:val="00172393"/>
    <w:rsid w:val="0017299E"/>
    <w:rsid w:val="001733BF"/>
    <w:rsid w:val="001738E2"/>
    <w:rsid w:val="00173918"/>
    <w:rsid w:val="00175AD4"/>
    <w:rsid w:val="00175B78"/>
    <w:rsid w:val="00175DE4"/>
    <w:rsid w:val="00176D71"/>
    <w:rsid w:val="00176D75"/>
    <w:rsid w:val="00177078"/>
    <w:rsid w:val="0017755E"/>
    <w:rsid w:val="00177E64"/>
    <w:rsid w:val="0018006E"/>
    <w:rsid w:val="00180235"/>
    <w:rsid w:val="00180CE2"/>
    <w:rsid w:val="001810A0"/>
    <w:rsid w:val="0018169C"/>
    <w:rsid w:val="001816B3"/>
    <w:rsid w:val="00181845"/>
    <w:rsid w:val="00181D10"/>
    <w:rsid w:val="00182853"/>
    <w:rsid w:val="00183119"/>
    <w:rsid w:val="0018313E"/>
    <w:rsid w:val="0018330A"/>
    <w:rsid w:val="00183441"/>
    <w:rsid w:val="00183C7D"/>
    <w:rsid w:val="0018455E"/>
    <w:rsid w:val="00184A12"/>
    <w:rsid w:val="00185B15"/>
    <w:rsid w:val="00186613"/>
    <w:rsid w:val="001873B9"/>
    <w:rsid w:val="0019018E"/>
    <w:rsid w:val="001901F5"/>
    <w:rsid w:val="001909AC"/>
    <w:rsid w:val="001914C0"/>
    <w:rsid w:val="00191EBF"/>
    <w:rsid w:val="001923EC"/>
    <w:rsid w:val="0019290D"/>
    <w:rsid w:val="00193983"/>
    <w:rsid w:val="00194631"/>
    <w:rsid w:val="0019478B"/>
    <w:rsid w:val="00195ABA"/>
    <w:rsid w:val="00195B54"/>
    <w:rsid w:val="00196D8B"/>
    <w:rsid w:val="0019732A"/>
    <w:rsid w:val="00197CF0"/>
    <w:rsid w:val="001A0631"/>
    <w:rsid w:val="001A122B"/>
    <w:rsid w:val="001A3588"/>
    <w:rsid w:val="001A40D8"/>
    <w:rsid w:val="001A40E5"/>
    <w:rsid w:val="001A412D"/>
    <w:rsid w:val="001A45EF"/>
    <w:rsid w:val="001A4A5D"/>
    <w:rsid w:val="001A54FE"/>
    <w:rsid w:val="001A654D"/>
    <w:rsid w:val="001A6F68"/>
    <w:rsid w:val="001B085D"/>
    <w:rsid w:val="001B0880"/>
    <w:rsid w:val="001B08C9"/>
    <w:rsid w:val="001B19F8"/>
    <w:rsid w:val="001B1ACC"/>
    <w:rsid w:val="001B23B8"/>
    <w:rsid w:val="001B2AA6"/>
    <w:rsid w:val="001B3498"/>
    <w:rsid w:val="001B4933"/>
    <w:rsid w:val="001B5F08"/>
    <w:rsid w:val="001B7157"/>
    <w:rsid w:val="001C0619"/>
    <w:rsid w:val="001C07C7"/>
    <w:rsid w:val="001C10F8"/>
    <w:rsid w:val="001C1662"/>
    <w:rsid w:val="001C1898"/>
    <w:rsid w:val="001C18A8"/>
    <w:rsid w:val="001C19B4"/>
    <w:rsid w:val="001C23A5"/>
    <w:rsid w:val="001C23AE"/>
    <w:rsid w:val="001C27E1"/>
    <w:rsid w:val="001C2E2E"/>
    <w:rsid w:val="001C34FC"/>
    <w:rsid w:val="001C448F"/>
    <w:rsid w:val="001C5177"/>
    <w:rsid w:val="001C558B"/>
    <w:rsid w:val="001C5835"/>
    <w:rsid w:val="001C5EA8"/>
    <w:rsid w:val="001C6196"/>
    <w:rsid w:val="001C61A6"/>
    <w:rsid w:val="001C6876"/>
    <w:rsid w:val="001C694C"/>
    <w:rsid w:val="001C74DE"/>
    <w:rsid w:val="001D00AA"/>
    <w:rsid w:val="001D0A46"/>
    <w:rsid w:val="001D0FCD"/>
    <w:rsid w:val="001D3188"/>
    <w:rsid w:val="001D35A4"/>
    <w:rsid w:val="001D3D8E"/>
    <w:rsid w:val="001D49BA"/>
    <w:rsid w:val="001D5361"/>
    <w:rsid w:val="001D55B1"/>
    <w:rsid w:val="001D591F"/>
    <w:rsid w:val="001D5F8C"/>
    <w:rsid w:val="001D656D"/>
    <w:rsid w:val="001D6932"/>
    <w:rsid w:val="001D6FA8"/>
    <w:rsid w:val="001E070A"/>
    <w:rsid w:val="001E07FB"/>
    <w:rsid w:val="001E10AF"/>
    <w:rsid w:val="001E1420"/>
    <w:rsid w:val="001E14B0"/>
    <w:rsid w:val="001E255D"/>
    <w:rsid w:val="001E392F"/>
    <w:rsid w:val="001E3EEB"/>
    <w:rsid w:val="001E4209"/>
    <w:rsid w:val="001E42D7"/>
    <w:rsid w:val="001E48AE"/>
    <w:rsid w:val="001E5BD0"/>
    <w:rsid w:val="001E5F0D"/>
    <w:rsid w:val="001E6683"/>
    <w:rsid w:val="001E6763"/>
    <w:rsid w:val="001E6DB0"/>
    <w:rsid w:val="001E6E2A"/>
    <w:rsid w:val="001E6E8E"/>
    <w:rsid w:val="001E6ECF"/>
    <w:rsid w:val="001E74B1"/>
    <w:rsid w:val="001E7B9A"/>
    <w:rsid w:val="001E7E97"/>
    <w:rsid w:val="001E7F45"/>
    <w:rsid w:val="001F04E1"/>
    <w:rsid w:val="001F04FB"/>
    <w:rsid w:val="001F054C"/>
    <w:rsid w:val="001F08E4"/>
    <w:rsid w:val="001F09E1"/>
    <w:rsid w:val="001F0C62"/>
    <w:rsid w:val="001F121E"/>
    <w:rsid w:val="001F1268"/>
    <w:rsid w:val="001F1303"/>
    <w:rsid w:val="001F2941"/>
    <w:rsid w:val="001F2E3D"/>
    <w:rsid w:val="001F3054"/>
    <w:rsid w:val="001F3206"/>
    <w:rsid w:val="001F36C6"/>
    <w:rsid w:val="001F3796"/>
    <w:rsid w:val="001F4B44"/>
    <w:rsid w:val="001F4E57"/>
    <w:rsid w:val="001F510E"/>
    <w:rsid w:val="001F5AFC"/>
    <w:rsid w:val="001F5C41"/>
    <w:rsid w:val="001F5F5D"/>
    <w:rsid w:val="001F631F"/>
    <w:rsid w:val="001F634B"/>
    <w:rsid w:val="001F670A"/>
    <w:rsid w:val="001F6716"/>
    <w:rsid w:val="001F6E1A"/>
    <w:rsid w:val="001F74AA"/>
    <w:rsid w:val="001F7828"/>
    <w:rsid w:val="00200216"/>
    <w:rsid w:val="0020125C"/>
    <w:rsid w:val="00201398"/>
    <w:rsid w:val="00201475"/>
    <w:rsid w:val="00201D43"/>
    <w:rsid w:val="00203077"/>
    <w:rsid w:val="002033C2"/>
    <w:rsid w:val="00203698"/>
    <w:rsid w:val="002039E0"/>
    <w:rsid w:val="00203CBC"/>
    <w:rsid w:val="00204C85"/>
    <w:rsid w:val="00205031"/>
    <w:rsid w:val="00206F7F"/>
    <w:rsid w:val="00206F96"/>
    <w:rsid w:val="00207B4F"/>
    <w:rsid w:val="00207DAC"/>
    <w:rsid w:val="002108A0"/>
    <w:rsid w:val="00210A5E"/>
    <w:rsid w:val="0021167E"/>
    <w:rsid w:val="00211B5D"/>
    <w:rsid w:val="00211F45"/>
    <w:rsid w:val="0021230B"/>
    <w:rsid w:val="00212FE6"/>
    <w:rsid w:val="00213164"/>
    <w:rsid w:val="00213474"/>
    <w:rsid w:val="0021365A"/>
    <w:rsid w:val="0021386C"/>
    <w:rsid w:val="002139EB"/>
    <w:rsid w:val="00215A5A"/>
    <w:rsid w:val="00215E80"/>
    <w:rsid w:val="00216131"/>
    <w:rsid w:val="0021691E"/>
    <w:rsid w:val="00217560"/>
    <w:rsid w:val="0021791D"/>
    <w:rsid w:val="0022029D"/>
    <w:rsid w:val="00220EA4"/>
    <w:rsid w:val="00221592"/>
    <w:rsid w:val="00221763"/>
    <w:rsid w:val="00222242"/>
    <w:rsid w:val="002225A4"/>
    <w:rsid w:val="0022285F"/>
    <w:rsid w:val="00222C44"/>
    <w:rsid w:val="0022415C"/>
    <w:rsid w:val="00224AA7"/>
    <w:rsid w:val="00224B20"/>
    <w:rsid w:val="00225374"/>
    <w:rsid w:val="00225682"/>
    <w:rsid w:val="0022576D"/>
    <w:rsid w:val="0022589D"/>
    <w:rsid w:val="00226018"/>
    <w:rsid w:val="0022628C"/>
    <w:rsid w:val="002264EB"/>
    <w:rsid w:val="00226D7F"/>
    <w:rsid w:val="00227C92"/>
    <w:rsid w:val="002303A3"/>
    <w:rsid w:val="0023128E"/>
    <w:rsid w:val="00231B32"/>
    <w:rsid w:val="002325F9"/>
    <w:rsid w:val="00232EBB"/>
    <w:rsid w:val="00234983"/>
    <w:rsid w:val="00234BBB"/>
    <w:rsid w:val="00235325"/>
    <w:rsid w:val="00235AF6"/>
    <w:rsid w:val="00235DCB"/>
    <w:rsid w:val="002366C9"/>
    <w:rsid w:val="0023670E"/>
    <w:rsid w:val="00236ECD"/>
    <w:rsid w:val="00237222"/>
    <w:rsid w:val="00237CC1"/>
    <w:rsid w:val="00237CE3"/>
    <w:rsid w:val="002408C3"/>
    <w:rsid w:val="00240902"/>
    <w:rsid w:val="00242A53"/>
    <w:rsid w:val="0024325B"/>
    <w:rsid w:val="002433EF"/>
    <w:rsid w:val="00243D0D"/>
    <w:rsid w:val="002466B6"/>
    <w:rsid w:val="002476AC"/>
    <w:rsid w:val="00247B3C"/>
    <w:rsid w:val="00250588"/>
    <w:rsid w:val="002508D0"/>
    <w:rsid w:val="00250C5F"/>
    <w:rsid w:val="0025158C"/>
    <w:rsid w:val="002515D5"/>
    <w:rsid w:val="00251BB9"/>
    <w:rsid w:val="00252F08"/>
    <w:rsid w:val="00253570"/>
    <w:rsid w:val="00253661"/>
    <w:rsid w:val="002543E4"/>
    <w:rsid w:val="0025456C"/>
    <w:rsid w:val="002546B3"/>
    <w:rsid w:val="002549D5"/>
    <w:rsid w:val="0025556F"/>
    <w:rsid w:val="0025599E"/>
    <w:rsid w:val="00255B14"/>
    <w:rsid w:val="00255EA0"/>
    <w:rsid w:val="002561B7"/>
    <w:rsid w:val="00256433"/>
    <w:rsid w:val="00256EEC"/>
    <w:rsid w:val="002602CA"/>
    <w:rsid w:val="00260B1F"/>
    <w:rsid w:val="00261845"/>
    <w:rsid w:val="00262347"/>
    <w:rsid w:val="002628D0"/>
    <w:rsid w:val="00264B69"/>
    <w:rsid w:val="002652EB"/>
    <w:rsid w:val="002663BE"/>
    <w:rsid w:val="00266642"/>
    <w:rsid w:val="0026687E"/>
    <w:rsid w:val="002669C0"/>
    <w:rsid w:val="00266B44"/>
    <w:rsid w:val="00266C43"/>
    <w:rsid w:val="00266F74"/>
    <w:rsid w:val="0026706D"/>
    <w:rsid w:val="0026711A"/>
    <w:rsid w:val="00270066"/>
    <w:rsid w:val="00271129"/>
    <w:rsid w:val="00271674"/>
    <w:rsid w:val="002717AE"/>
    <w:rsid w:val="00271AC3"/>
    <w:rsid w:val="00272290"/>
    <w:rsid w:val="002725F2"/>
    <w:rsid w:val="002729A4"/>
    <w:rsid w:val="00273A33"/>
    <w:rsid w:val="002754E0"/>
    <w:rsid w:val="00275A09"/>
    <w:rsid w:val="00275E71"/>
    <w:rsid w:val="00276E3C"/>
    <w:rsid w:val="00276F0C"/>
    <w:rsid w:val="00280092"/>
    <w:rsid w:val="00280572"/>
    <w:rsid w:val="002805D8"/>
    <w:rsid w:val="00280EFE"/>
    <w:rsid w:val="00281CCB"/>
    <w:rsid w:val="00281D22"/>
    <w:rsid w:val="0028202A"/>
    <w:rsid w:val="002820F3"/>
    <w:rsid w:val="002825D3"/>
    <w:rsid w:val="00282A78"/>
    <w:rsid w:val="002833F7"/>
    <w:rsid w:val="00283EB3"/>
    <w:rsid w:val="00284278"/>
    <w:rsid w:val="0028454E"/>
    <w:rsid w:val="002845E7"/>
    <w:rsid w:val="00285133"/>
    <w:rsid w:val="0028651C"/>
    <w:rsid w:val="0028671D"/>
    <w:rsid w:val="00286B05"/>
    <w:rsid w:val="00290370"/>
    <w:rsid w:val="00290496"/>
    <w:rsid w:val="0029088E"/>
    <w:rsid w:val="002908E8"/>
    <w:rsid w:val="00290FB7"/>
    <w:rsid w:val="00291169"/>
    <w:rsid w:val="0029179D"/>
    <w:rsid w:val="0029267B"/>
    <w:rsid w:val="002928D3"/>
    <w:rsid w:val="00294229"/>
    <w:rsid w:val="00294508"/>
    <w:rsid w:val="00295121"/>
    <w:rsid w:val="0029556B"/>
    <w:rsid w:val="00295A63"/>
    <w:rsid w:val="00295A96"/>
    <w:rsid w:val="00295EB7"/>
    <w:rsid w:val="002962A5"/>
    <w:rsid w:val="00296AD8"/>
    <w:rsid w:val="00296E9C"/>
    <w:rsid w:val="0029706C"/>
    <w:rsid w:val="00297A23"/>
    <w:rsid w:val="00297FAB"/>
    <w:rsid w:val="002A0350"/>
    <w:rsid w:val="002A2207"/>
    <w:rsid w:val="002A3358"/>
    <w:rsid w:val="002A3B89"/>
    <w:rsid w:val="002A3E9A"/>
    <w:rsid w:val="002A4A52"/>
    <w:rsid w:val="002A4B54"/>
    <w:rsid w:val="002A4E21"/>
    <w:rsid w:val="002A71A0"/>
    <w:rsid w:val="002A74F2"/>
    <w:rsid w:val="002A795A"/>
    <w:rsid w:val="002A7FC4"/>
    <w:rsid w:val="002B1600"/>
    <w:rsid w:val="002B1610"/>
    <w:rsid w:val="002B1EEC"/>
    <w:rsid w:val="002B2433"/>
    <w:rsid w:val="002B270D"/>
    <w:rsid w:val="002B273A"/>
    <w:rsid w:val="002B2928"/>
    <w:rsid w:val="002B2F3E"/>
    <w:rsid w:val="002B2FCD"/>
    <w:rsid w:val="002B41E9"/>
    <w:rsid w:val="002B4327"/>
    <w:rsid w:val="002B50CA"/>
    <w:rsid w:val="002B57E1"/>
    <w:rsid w:val="002B5C96"/>
    <w:rsid w:val="002B5EA5"/>
    <w:rsid w:val="002B64DC"/>
    <w:rsid w:val="002B6765"/>
    <w:rsid w:val="002B7096"/>
    <w:rsid w:val="002B7A3D"/>
    <w:rsid w:val="002B7A74"/>
    <w:rsid w:val="002B7C32"/>
    <w:rsid w:val="002C1669"/>
    <w:rsid w:val="002C1957"/>
    <w:rsid w:val="002C275D"/>
    <w:rsid w:val="002C2F04"/>
    <w:rsid w:val="002C2F0C"/>
    <w:rsid w:val="002C3006"/>
    <w:rsid w:val="002C32A4"/>
    <w:rsid w:val="002C44E8"/>
    <w:rsid w:val="002C497B"/>
    <w:rsid w:val="002C5C18"/>
    <w:rsid w:val="002C674A"/>
    <w:rsid w:val="002C6A59"/>
    <w:rsid w:val="002C6E6F"/>
    <w:rsid w:val="002C79EB"/>
    <w:rsid w:val="002C7E09"/>
    <w:rsid w:val="002D0596"/>
    <w:rsid w:val="002D0A41"/>
    <w:rsid w:val="002D0ACD"/>
    <w:rsid w:val="002D1243"/>
    <w:rsid w:val="002D2380"/>
    <w:rsid w:val="002D333A"/>
    <w:rsid w:val="002D36C1"/>
    <w:rsid w:val="002D4014"/>
    <w:rsid w:val="002D4365"/>
    <w:rsid w:val="002D43BE"/>
    <w:rsid w:val="002D4942"/>
    <w:rsid w:val="002D52BB"/>
    <w:rsid w:val="002D5B8A"/>
    <w:rsid w:val="002D5C1C"/>
    <w:rsid w:val="002D6266"/>
    <w:rsid w:val="002D6D7C"/>
    <w:rsid w:val="002D7394"/>
    <w:rsid w:val="002D73E0"/>
    <w:rsid w:val="002E0483"/>
    <w:rsid w:val="002E08E8"/>
    <w:rsid w:val="002E0E72"/>
    <w:rsid w:val="002E1658"/>
    <w:rsid w:val="002E2A6C"/>
    <w:rsid w:val="002E341B"/>
    <w:rsid w:val="002E451F"/>
    <w:rsid w:val="002E5C2D"/>
    <w:rsid w:val="002E6834"/>
    <w:rsid w:val="002E6B22"/>
    <w:rsid w:val="002F0837"/>
    <w:rsid w:val="002F1FD8"/>
    <w:rsid w:val="002F24ED"/>
    <w:rsid w:val="002F2FC5"/>
    <w:rsid w:val="002F32A2"/>
    <w:rsid w:val="002F3D45"/>
    <w:rsid w:val="002F3FFF"/>
    <w:rsid w:val="002F40BF"/>
    <w:rsid w:val="002F443A"/>
    <w:rsid w:val="002F51E8"/>
    <w:rsid w:val="002F5533"/>
    <w:rsid w:val="002F56F2"/>
    <w:rsid w:val="002F5B52"/>
    <w:rsid w:val="002F5DED"/>
    <w:rsid w:val="002F6B21"/>
    <w:rsid w:val="002F6F87"/>
    <w:rsid w:val="002F7AAE"/>
    <w:rsid w:val="003021A9"/>
    <w:rsid w:val="00302425"/>
    <w:rsid w:val="00303A76"/>
    <w:rsid w:val="00303EBB"/>
    <w:rsid w:val="00304191"/>
    <w:rsid w:val="003043AF"/>
    <w:rsid w:val="00304916"/>
    <w:rsid w:val="00304E70"/>
    <w:rsid w:val="003056D9"/>
    <w:rsid w:val="00305CE8"/>
    <w:rsid w:val="00305E4E"/>
    <w:rsid w:val="003060AD"/>
    <w:rsid w:val="003063FF"/>
    <w:rsid w:val="00306447"/>
    <w:rsid w:val="0030682B"/>
    <w:rsid w:val="0030749A"/>
    <w:rsid w:val="003079F5"/>
    <w:rsid w:val="00310A73"/>
    <w:rsid w:val="0031100D"/>
    <w:rsid w:val="00312872"/>
    <w:rsid w:val="00314287"/>
    <w:rsid w:val="00314A7B"/>
    <w:rsid w:val="00315250"/>
    <w:rsid w:val="0031609F"/>
    <w:rsid w:val="003167C2"/>
    <w:rsid w:val="00316A94"/>
    <w:rsid w:val="00317387"/>
    <w:rsid w:val="00317853"/>
    <w:rsid w:val="0032088C"/>
    <w:rsid w:val="00320AD2"/>
    <w:rsid w:val="00321C1A"/>
    <w:rsid w:val="00322815"/>
    <w:rsid w:val="00322E70"/>
    <w:rsid w:val="00322EF2"/>
    <w:rsid w:val="003232DD"/>
    <w:rsid w:val="00324F3F"/>
    <w:rsid w:val="0032594C"/>
    <w:rsid w:val="00325CC7"/>
    <w:rsid w:val="00325FD9"/>
    <w:rsid w:val="003262A3"/>
    <w:rsid w:val="003265CF"/>
    <w:rsid w:val="00326682"/>
    <w:rsid w:val="00326ECD"/>
    <w:rsid w:val="003271D4"/>
    <w:rsid w:val="00327AD9"/>
    <w:rsid w:val="0033026A"/>
    <w:rsid w:val="0033053F"/>
    <w:rsid w:val="003307D4"/>
    <w:rsid w:val="003314AD"/>
    <w:rsid w:val="003318B6"/>
    <w:rsid w:val="00331A1C"/>
    <w:rsid w:val="00332ABF"/>
    <w:rsid w:val="00332D40"/>
    <w:rsid w:val="00332FC8"/>
    <w:rsid w:val="00333B6E"/>
    <w:rsid w:val="0033507F"/>
    <w:rsid w:val="003358DA"/>
    <w:rsid w:val="003358FF"/>
    <w:rsid w:val="00336662"/>
    <w:rsid w:val="0034017C"/>
    <w:rsid w:val="003409AC"/>
    <w:rsid w:val="00341667"/>
    <w:rsid w:val="003420AA"/>
    <w:rsid w:val="00343152"/>
    <w:rsid w:val="0034342F"/>
    <w:rsid w:val="00344715"/>
    <w:rsid w:val="00344C2C"/>
    <w:rsid w:val="00344DD3"/>
    <w:rsid w:val="0034502D"/>
    <w:rsid w:val="00345336"/>
    <w:rsid w:val="003455AB"/>
    <w:rsid w:val="00346860"/>
    <w:rsid w:val="003478DF"/>
    <w:rsid w:val="003505F0"/>
    <w:rsid w:val="00351104"/>
    <w:rsid w:val="003511A3"/>
    <w:rsid w:val="0035125A"/>
    <w:rsid w:val="003513FA"/>
    <w:rsid w:val="00351BF6"/>
    <w:rsid w:val="00352291"/>
    <w:rsid w:val="00353F8B"/>
    <w:rsid w:val="00354813"/>
    <w:rsid w:val="00354C76"/>
    <w:rsid w:val="0035578A"/>
    <w:rsid w:val="00356097"/>
    <w:rsid w:val="0035611B"/>
    <w:rsid w:val="003568E2"/>
    <w:rsid w:val="00356E71"/>
    <w:rsid w:val="00356F3F"/>
    <w:rsid w:val="00357B38"/>
    <w:rsid w:val="003602F1"/>
    <w:rsid w:val="003608D3"/>
    <w:rsid w:val="00361D73"/>
    <w:rsid w:val="00362E50"/>
    <w:rsid w:val="00362E75"/>
    <w:rsid w:val="00363E63"/>
    <w:rsid w:val="0036409A"/>
    <w:rsid w:val="0036429C"/>
    <w:rsid w:val="0036476F"/>
    <w:rsid w:val="003648B5"/>
    <w:rsid w:val="00365918"/>
    <w:rsid w:val="00365A4B"/>
    <w:rsid w:val="00365B8B"/>
    <w:rsid w:val="003669ED"/>
    <w:rsid w:val="00366D14"/>
    <w:rsid w:val="00366EC9"/>
    <w:rsid w:val="00367686"/>
    <w:rsid w:val="003704FB"/>
    <w:rsid w:val="00370B6D"/>
    <w:rsid w:val="00370E42"/>
    <w:rsid w:val="003714C7"/>
    <w:rsid w:val="003716AE"/>
    <w:rsid w:val="00372991"/>
    <w:rsid w:val="00372AD2"/>
    <w:rsid w:val="003731ED"/>
    <w:rsid w:val="003744B6"/>
    <w:rsid w:val="003760AD"/>
    <w:rsid w:val="00376152"/>
    <w:rsid w:val="00376938"/>
    <w:rsid w:val="00376994"/>
    <w:rsid w:val="00376A79"/>
    <w:rsid w:val="00376B82"/>
    <w:rsid w:val="00380799"/>
    <w:rsid w:val="003807E8"/>
    <w:rsid w:val="00380A17"/>
    <w:rsid w:val="00380CBD"/>
    <w:rsid w:val="003811C6"/>
    <w:rsid w:val="00381796"/>
    <w:rsid w:val="00381F82"/>
    <w:rsid w:val="003848D7"/>
    <w:rsid w:val="00385450"/>
    <w:rsid w:val="0038548F"/>
    <w:rsid w:val="00385E9E"/>
    <w:rsid w:val="003862B3"/>
    <w:rsid w:val="003868E3"/>
    <w:rsid w:val="00386A46"/>
    <w:rsid w:val="003879A0"/>
    <w:rsid w:val="00390358"/>
    <w:rsid w:val="00390560"/>
    <w:rsid w:val="0039117D"/>
    <w:rsid w:val="00391309"/>
    <w:rsid w:val="0039161B"/>
    <w:rsid w:val="003922ED"/>
    <w:rsid w:val="00392406"/>
    <w:rsid w:val="00392CC7"/>
    <w:rsid w:val="00392FB9"/>
    <w:rsid w:val="003932CB"/>
    <w:rsid w:val="0039362E"/>
    <w:rsid w:val="00394EB3"/>
    <w:rsid w:val="003950D6"/>
    <w:rsid w:val="00396124"/>
    <w:rsid w:val="003968A9"/>
    <w:rsid w:val="003974F3"/>
    <w:rsid w:val="003A0E86"/>
    <w:rsid w:val="003A1CDD"/>
    <w:rsid w:val="003A23C6"/>
    <w:rsid w:val="003A26C9"/>
    <w:rsid w:val="003A26CB"/>
    <w:rsid w:val="003A2BE8"/>
    <w:rsid w:val="003A2C77"/>
    <w:rsid w:val="003A2EEB"/>
    <w:rsid w:val="003A2FB8"/>
    <w:rsid w:val="003A30EB"/>
    <w:rsid w:val="003A3AD0"/>
    <w:rsid w:val="003A3F55"/>
    <w:rsid w:val="003A533C"/>
    <w:rsid w:val="003A60BE"/>
    <w:rsid w:val="003A626E"/>
    <w:rsid w:val="003A6A12"/>
    <w:rsid w:val="003A6C52"/>
    <w:rsid w:val="003A72B8"/>
    <w:rsid w:val="003A7707"/>
    <w:rsid w:val="003A7E37"/>
    <w:rsid w:val="003B0390"/>
    <w:rsid w:val="003B0FD0"/>
    <w:rsid w:val="003B1997"/>
    <w:rsid w:val="003B37A6"/>
    <w:rsid w:val="003B3BDB"/>
    <w:rsid w:val="003B42C7"/>
    <w:rsid w:val="003B60B7"/>
    <w:rsid w:val="003B6712"/>
    <w:rsid w:val="003B6F70"/>
    <w:rsid w:val="003B7019"/>
    <w:rsid w:val="003B73F2"/>
    <w:rsid w:val="003C04EE"/>
    <w:rsid w:val="003C0556"/>
    <w:rsid w:val="003C0ABF"/>
    <w:rsid w:val="003C0C6E"/>
    <w:rsid w:val="003C26CC"/>
    <w:rsid w:val="003C2766"/>
    <w:rsid w:val="003C31CC"/>
    <w:rsid w:val="003C326B"/>
    <w:rsid w:val="003C429A"/>
    <w:rsid w:val="003C544A"/>
    <w:rsid w:val="003C5620"/>
    <w:rsid w:val="003C5A1F"/>
    <w:rsid w:val="003C659B"/>
    <w:rsid w:val="003C668C"/>
    <w:rsid w:val="003C6A44"/>
    <w:rsid w:val="003C75CB"/>
    <w:rsid w:val="003C775C"/>
    <w:rsid w:val="003D002B"/>
    <w:rsid w:val="003D07D4"/>
    <w:rsid w:val="003D0ACE"/>
    <w:rsid w:val="003D0EB3"/>
    <w:rsid w:val="003D12DA"/>
    <w:rsid w:val="003D167F"/>
    <w:rsid w:val="003D2730"/>
    <w:rsid w:val="003D29DD"/>
    <w:rsid w:val="003D3D58"/>
    <w:rsid w:val="003D453D"/>
    <w:rsid w:val="003D59B7"/>
    <w:rsid w:val="003D5F05"/>
    <w:rsid w:val="003D73CC"/>
    <w:rsid w:val="003D786F"/>
    <w:rsid w:val="003E0445"/>
    <w:rsid w:val="003E05C3"/>
    <w:rsid w:val="003E0C0A"/>
    <w:rsid w:val="003E18DA"/>
    <w:rsid w:val="003E1F16"/>
    <w:rsid w:val="003E22DE"/>
    <w:rsid w:val="003E24C9"/>
    <w:rsid w:val="003E2E33"/>
    <w:rsid w:val="003E35C9"/>
    <w:rsid w:val="003E36C8"/>
    <w:rsid w:val="003E38B3"/>
    <w:rsid w:val="003E3F0B"/>
    <w:rsid w:val="003E3F27"/>
    <w:rsid w:val="003E4DE8"/>
    <w:rsid w:val="003E6394"/>
    <w:rsid w:val="003E66B8"/>
    <w:rsid w:val="003E7C79"/>
    <w:rsid w:val="003F0C59"/>
    <w:rsid w:val="003F1ED1"/>
    <w:rsid w:val="003F2D28"/>
    <w:rsid w:val="003F3230"/>
    <w:rsid w:val="003F34AB"/>
    <w:rsid w:val="003F399F"/>
    <w:rsid w:val="003F3EFC"/>
    <w:rsid w:val="003F42BC"/>
    <w:rsid w:val="003F4646"/>
    <w:rsid w:val="003F470D"/>
    <w:rsid w:val="003F4BB6"/>
    <w:rsid w:val="003F54CF"/>
    <w:rsid w:val="003F5798"/>
    <w:rsid w:val="003F6687"/>
    <w:rsid w:val="003F68B2"/>
    <w:rsid w:val="003F68F0"/>
    <w:rsid w:val="003F6E2C"/>
    <w:rsid w:val="003F72D6"/>
    <w:rsid w:val="003F7D90"/>
    <w:rsid w:val="00400222"/>
    <w:rsid w:val="00401BD3"/>
    <w:rsid w:val="00402006"/>
    <w:rsid w:val="00402088"/>
    <w:rsid w:val="00403415"/>
    <w:rsid w:val="0040395D"/>
    <w:rsid w:val="00403B4A"/>
    <w:rsid w:val="00403E78"/>
    <w:rsid w:val="00404347"/>
    <w:rsid w:val="00404B98"/>
    <w:rsid w:val="00405AFE"/>
    <w:rsid w:val="00405D18"/>
    <w:rsid w:val="00406087"/>
    <w:rsid w:val="00406133"/>
    <w:rsid w:val="00406418"/>
    <w:rsid w:val="00406826"/>
    <w:rsid w:val="00406871"/>
    <w:rsid w:val="004069BF"/>
    <w:rsid w:val="00406C62"/>
    <w:rsid w:val="004111B8"/>
    <w:rsid w:val="004121D0"/>
    <w:rsid w:val="0041351E"/>
    <w:rsid w:val="00414E07"/>
    <w:rsid w:val="00414F30"/>
    <w:rsid w:val="00414F61"/>
    <w:rsid w:val="00415CCE"/>
    <w:rsid w:val="00415E10"/>
    <w:rsid w:val="00416681"/>
    <w:rsid w:val="00416D40"/>
    <w:rsid w:val="00417242"/>
    <w:rsid w:val="004173F1"/>
    <w:rsid w:val="004226B0"/>
    <w:rsid w:val="004230F2"/>
    <w:rsid w:val="00423335"/>
    <w:rsid w:val="0042417D"/>
    <w:rsid w:val="00424C9A"/>
    <w:rsid w:val="0042515E"/>
    <w:rsid w:val="004254A4"/>
    <w:rsid w:val="00426315"/>
    <w:rsid w:val="00426C3E"/>
    <w:rsid w:val="00426D99"/>
    <w:rsid w:val="00427217"/>
    <w:rsid w:val="004276CF"/>
    <w:rsid w:val="0043111C"/>
    <w:rsid w:val="004319E5"/>
    <w:rsid w:val="00431CE5"/>
    <w:rsid w:val="00431F96"/>
    <w:rsid w:val="0043280D"/>
    <w:rsid w:val="00432AC6"/>
    <w:rsid w:val="00432BF6"/>
    <w:rsid w:val="004333DC"/>
    <w:rsid w:val="00434C40"/>
    <w:rsid w:val="0043792E"/>
    <w:rsid w:val="00437B07"/>
    <w:rsid w:val="00437D64"/>
    <w:rsid w:val="00440766"/>
    <w:rsid w:val="0044154E"/>
    <w:rsid w:val="00441584"/>
    <w:rsid w:val="004415AE"/>
    <w:rsid w:val="00441780"/>
    <w:rsid w:val="00442456"/>
    <w:rsid w:val="004428B6"/>
    <w:rsid w:val="00442B99"/>
    <w:rsid w:val="00442DB6"/>
    <w:rsid w:val="00442F7F"/>
    <w:rsid w:val="00443625"/>
    <w:rsid w:val="0044374C"/>
    <w:rsid w:val="00443AE0"/>
    <w:rsid w:val="004440C1"/>
    <w:rsid w:val="004443CC"/>
    <w:rsid w:val="00444401"/>
    <w:rsid w:val="004445B9"/>
    <w:rsid w:val="0044505F"/>
    <w:rsid w:val="004450E3"/>
    <w:rsid w:val="0044541D"/>
    <w:rsid w:val="00445CB9"/>
    <w:rsid w:val="00446889"/>
    <w:rsid w:val="0044693B"/>
    <w:rsid w:val="00446BA7"/>
    <w:rsid w:val="00446D9C"/>
    <w:rsid w:val="00446EFC"/>
    <w:rsid w:val="00446F2C"/>
    <w:rsid w:val="00447073"/>
    <w:rsid w:val="00447128"/>
    <w:rsid w:val="0044726E"/>
    <w:rsid w:val="00447560"/>
    <w:rsid w:val="00447823"/>
    <w:rsid w:val="00447A98"/>
    <w:rsid w:val="00450BC1"/>
    <w:rsid w:val="004517DB"/>
    <w:rsid w:val="00451B87"/>
    <w:rsid w:val="00451C1F"/>
    <w:rsid w:val="004522EF"/>
    <w:rsid w:val="00452AD4"/>
    <w:rsid w:val="004538C1"/>
    <w:rsid w:val="0045392F"/>
    <w:rsid w:val="00453BA8"/>
    <w:rsid w:val="00453E7F"/>
    <w:rsid w:val="004546BC"/>
    <w:rsid w:val="0045474D"/>
    <w:rsid w:val="0045487A"/>
    <w:rsid w:val="00455676"/>
    <w:rsid w:val="004560D2"/>
    <w:rsid w:val="0045797D"/>
    <w:rsid w:val="00457A34"/>
    <w:rsid w:val="00457E9C"/>
    <w:rsid w:val="0046040D"/>
    <w:rsid w:val="004605AE"/>
    <w:rsid w:val="00460BD1"/>
    <w:rsid w:val="00461812"/>
    <w:rsid w:val="00461D14"/>
    <w:rsid w:val="00462599"/>
    <w:rsid w:val="00462DE3"/>
    <w:rsid w:val="00462E5F"/>
    <w:rsid w:val="00462F47"/>
    <w:rsid w:val="00463311"/>
    <w:rsid w:val="00463D28"/>
    <w:rsid w:val="00463E91"/>
    <w:rsid w:val="00464100"/>
    <w:rsid w:val="004642D7"/>
    <w:rsid w:val="00464710"/>
    <w:rsid w:val="004657F6"/>
    <w:rsid w:val="0046584B"/>
    <w:rsid w:val="00465B9B"/>
    <w:rsid w:val="004668E0"/>
    <w:rsid w:val="00466903"/>
    <w:rsid w:val="00466F04"/>
    <w:rsid w:val="0046747B"/>
    <w:rsid w:val="004706C9"/>
    <w:rsid w:val="004706FC"/>
    <w:rsid w:val="004721C6"/>
    <w:rsid w:val="0047241D"/>
    <w:rsid w:val="00472C8D"/>
    <w:rsid w:val="00473B47"/>
    <w:rsid w:val="0047457C"/>
    <w:rsid w:val="00474ECD"/>
    <w:rsid w:val="0047522D"/>
    <w:rsid w:val="004752E3"/>
    <w:rsid w:val="004756AA"/>
    <w:rsid w:val="00475D60"/>
    <w:rsid w:val="004764D9"/>
    <w:rsid w:val="00476839"/>
    <w:rsid w:val="00476BC2"/>
    <w:rsid w:val="00476EFD"/>
    <w:rsid w:val="00477263"/>
    <w:rsid w:val="004773E4"/>
    <w:rsid w:val="00477793"/>
    <w:rsid w:val="00477F3C"/>
    <w:rsid w:val="00480631"/>
    <w:rsid w:val="00480D8E"/>
    <w:rsid w:val="00481F49"/>
    <w:rsid w:val="004833DF"/>
    <w:rsid w:val="00483AD8"/>
    <w:rsid w:val="00483F8C"/>
    <w:rsid w:val="0048402A"/>
    <w:rsid w:val="00484EA4"/>
    <w:rsid w:val="004851C0"/>
    <w:rsid w:val="004879DB"/>
    <w:rsid w:val="00490264"/>
    <w:rsid w:val="00490B45"/>
    <w:rsid w:val="00491ED4"/>
    <w:rsid w:val="00492CA2"/>
    <w:rsid w:val="00493180"/>
    <w:rsid w:val="004936B9"/>
    <w:rsid w:val="00493853"/>
    <w:rsid w:val="004948CC"/>
    <w:rsid w:val="00495A9A"/>
    <w:rsid w:val="00496A7A"/>
    <w:rsid w:val="00496AFD"/>
    <w:rsid w:val="00497565"/>
    <w:rsid w:val="00497B57"/>
    <w:rsid w:val="00497B83"/>
    <w:rsid w:val="004A038E"/>
    <w:rsid w:val="004A0935"/>
    <w:rsid w:val="004A1504"/>
    <w:rsid w:val="004A17D3"/>
    <w:rsid w:val="004A1DB2"/>
    <w:rsid w:val="004A1EEC"/>
    <w:rsid w:val="004A210C"/>
    <w:rsid w:val="004A2756"/>
    <w:rsid w:val="004A3580"/>
    <w:rsid w:val="004A3D02"/>
    <w:rsid w:val="004A4C07"/>
    <w:rsid w:val="004A5451"/>
    <w:rsid w:val="004A59D2"/>
    <w:rsid w:val="004A62A4"/>
    <w:rsid w:val="004A6343"/>
    <w:rsid w:val="004A64EE"/>
    <w:rsid w:val="004A6C77"/>
    <w:rsid w:val="004A6EA2"/>
    <w:rsid w:val="004A6EF8"/>
    <w:rsid w:val="004A73C4"/>
    <w:rsid w:val="004A73FF"/>
    <w:rsid w:val="004A7689"/>
    <w:rsid w:val="004B08F7"/>
    <w:rsid w:val="004B0A19"/>
    <w:rsid w:val="004B0A59"/>
    <w:rsid w:val="004B162C"/>
    <w:rsid w:val="004B17C9"/>
    <w:rsid w:val="004B1F2A"/>
    <w:rsid w:val="004B2903"/>
    <w:rsid w:val="004B29B6"/>
    <w:rsid w:val="004B2A43"/>
    <w:rsid w:val="004B2E64"/>
    <w:rsid w:val="004B3510"/>
    <w:rsid w:val="004B4414"/>
    <w:rsid w:val="004B5379"/>
    <w:rsid w:val="004B56BB"/>
    <w:rsid w:val="004B59E4"/>
    <w:rsid w:val="004B5F4D"/>
    <w:rsid w:val="004B74A4"/>
    <w:rsid w:val="004C0309"/>
    <w:rsid w:val="004C039F"/>
    <w:rsid w:val="004C08B1"/>
    <w:rsid w:val="004C0D5B"/>
    <w:rsid w:val="004C114D"/>
    <w:rsid w:val="004C12C4"/>
    <w:rsid w:val="004C143B"/>
    <w:rsid w:val="004C15BE"/>
    <w:rsid w:val="004C173F"/>
    <w:rsid w:val="004C1880"/>
    <w:rsid w:val="004C21AB"/>
    <w:rsid w:val="004C2253"/>
    <w:rsid w:val="004C2829"/>
    <w:rsid w:val="004C2875"/>
    <w:rsid w:val="004C395B"/>
    <w:rsid w:val="004C3D2F"/>
    <w:rsid w:val="004C51B7"/>
    <w:rsid w:val="004C644A"/>
    <w:rsid w:val="004C6769"/>
    <w:rsid w:val="004C6E7C"/>
    <w:rsid w:val="004C7361"/>
    <w:rsid w:val="004C7593"/>
    <w:rsid w:val="004D03DD"/>
    <w:rsid w:val="004D0554"/>
    <w:rsid w:val="004D1180"/>
    <w:rsid w:val="004D2000"/>
    <w:rsid w:val="004D2490"/>
    <w:rsid w:val="004D2AE4"/>
    <w:rsid w:val="004D2C6B"/>
    <w:rsid w:val="004D2EE1"/>
    <w:rsid w:val="004D3777"/>
    <w:rsid w:val="004D3E41"/>
    <w:rsid w:val="004D40FE"/>
    <w:rsid w:val="004D464B"/>
    <w:rsid w:val="004D4738"/>
    <w:rsid w:val="004D5401"/>
    <w:rsid w:val="004D550E"/>
    <w:rsid w:val="004D5FC0"/>
    <w:rsid w:val="004D6A61"/>
    <w:rsid w:val="004D7250"/>
    <w:rsid w:val="004D7C7E"/>
    <w:rsid w:val="004E016D"/>
    <w:rsid w:val="004E01E6"/>
    <w:rsid w:val="004E0818"/>
    <w:rsid w:val="004E18C6"/>
    <w:rsid w:val="004E4194"/>
    <w:rsid w:val="004E427E"/>
    <w:rsid w:val="004E46B6"/>
    <w:rsid w:val="004E48F0"/>
    <w:rsid w:val="004E624F"/>
    <w:rsid w:val="004E687C"/>
    <w:rsid w:val="004E6AEB"/>
    <w:rsid w:val="004F0640"/>
    <w:rsid w:val="004F258B"/>
    <w:rsid w:val="004F3D92"/>
    <w:rsid w:val="004F4BC8"/>
    <w:rsid w:val="004F4C20"/>
    <w:rsid w:val="004F5728"/>
    <w:rsid w:val="004F5804"/>
    <w:rsid w:val="004F58B6"/>
    <w:rsid w:val="004F61C6"/>
    <w:rsid w:val="004F64F9"/>
    <w:rsid w:val="004F6A58"/>
    <w:rsid w:val="004F6C2F"/>
    <w:rsid w:val="004F78C2"/>
    <w:rsid w:val="004F7FE8"/>
    <w:rsid w:val="00500727"/>
    <w:rsid w:val="00500ABF"/>
    <w:rsid w:val="00500AFA"/>
    <w:rsid w:val="00500F79"/>
    <w:rsid w:val="005013E0"/>
    <w:rsid w:val="0050151E"/>
    <w:rsid w:val="00501BFA"/>
    <w:rsid w:val="0050256B"/>
    <w:rsid w:val="00503CA2"/>
    <w:rsid w:val="00503FD0"/>
    <w:rsid w:val="005049D0"/>
    <w:rsid w:val="00504AA9"/>
    <w:rsid w:val="005052F3"/>
    <w:rsid w:val="00505B1A"/>
    <w:rsid w:val="00506C8F"/>
    <w:rsid w:val="00506F3A"/>
    <w:rsid w:val="00507E24"/>
    <w:rsid w:val="00510602"/>
    <w:rsid w:val="00510987"/>
    <w:rsid w:val="00510F63"/>
    <w:rsid w:val="00511973"/>
    <w:rsid w:val="00511F9D"/>
    <w:rsid w:val="005127A5"/>
    <w:rsid w:val="00512BD2"/>
    <w:rsid w:val="00512CAE"/>
    <w:rsid w:val="00512ED2"/>
    <w:rsid w:val="00512FB9"/>
    <w:rsid w:val="00513CC9"/>
    <w:rsid w:val="00514778"/>
    <w:rsid w:val="00514F96"/>
    <w:rsid w:val="00515378"/>
    <w:rsid w:val="005153B5"/>
    <w:rsid w:val="005159DE"/>
    <w:rsid w:val="00516484"/>
    <w:rsid w:val="00516909"/>
    <w:rsid w:val="00516B09"/>
    <w:rsid w:val="00516D1C"/>
    <w:rsid w:val="00517298"/>
    <w:rsid w:val="00517FDF"/>
    <w:rsid w:val="00520215"/>
    <w:rsid w:val="00520E55"/>
    <w:rsid w:val="00520F3A"/>
    <w:rsid w:val="00521E6C"/>
    <w:rsid w:val="00521FAF"/>
    <w:rsid w:val="00522454"/>
    <w:rsid w:val="00522678"/>
    <w:rsid w:val="00522780"/>
    <w:rsid w:val="00522AF3"/>
    <w:rsid w:val="005236CE"/>
    <w:rsid w:val="0052376C"/>
    <w:rsid w:val="00523AC0"/>
    <w:rsid w:val="00523ADD"/>
    <w:rsid w:val="00523D8B"/>
    <w:rsid w:val="005242E4"/>
    <w:rsid w:val="00524AE7"/>
    <w:rsid w:val="0052502D"/>
    <w:rsid w:val="00525677"/>
    <w:rsid w:val="005259E8"/>
    <w:rsid w:val="005259EA"/>
    <w:rsid w:val="00525DB7"/>
    <w:rsid w:val="00527E14"/>
    <w:rsid w:val="00527FFB"/>
    <w:rsid w:val="00530363"/>
    <w:rsid w:val="005306EB"/>
    <w:rsid w:val="00530798"/>
    <w:rsid w:val="00531A2F"/>
    <w:rsid w:val="00531B1A"/>
    <w:rsid w:val="00532BFD"/>
    <w:rsid w:val="00533CFF"/>
    <w:rsid w:val="00533EDB"/>
    <w:rsid w:val="00534022"/>
    <w:rsid w:val="00534122"/>
    <w:rsid w:val="00534750"/>
    <w:rsid w:val="00534985"/>
    <w:rsid w:val="00534C5A"/>
    <w:rsid w:val="005352F4"/>
    <w:rsid w:val="00535933"/>
    <w:rsid w:val="00535971"/>
    <w:rsid w:val="00535BBE"/>
    <w:rsid w:val="00535D79"/>
    <w:rsid w:val="00535DED"/>
    <w:rsid w:val="00535E25"/>
    <w:rsid w:val="0053602E"/>
    <w:rsid w:val="005361DD"/>
    <w:rsid w:val="00537100"/>
    <w:rsid w:val="005378BC"/>
    <w:rsid w:val="005378D4"/>
    <w:rsid w:val="005402D1"/>
    <w:rsid w:val="00540692"/>
    <w:rsid w:val="00540A38"/>
    <w:rsid w:val="00541518"/>
    <w:rsid w:val="005422BA"/>
    <w:rsid w:val="0054269C"/>
    <w:rsid w:val="00542A6D"/>
    <w:rsid w:val="00542B9E"/>
    <w:rsid w:val="00542EE5"/>
    <w:rsid w:val="0054381B"/>
    <w:rsid w:val="005438E3"/>
    <w:rsid w:val="00544063"/>
    <w:rsid w:val="0054469F"/>
    <w:rsid w:val="00545137"/>
    <w:rsid w:val="00545669"/>
    <w:rsid w:val="0054567E"/>
    <w:rsid w:val="00545B61"/>
    <w:rsid w:val="00546E48"/>
    <w:rsid w:val="00547844"/>
    <w:rsid w:val="005503FC"/>
    <w:rsid w:val="005505DC"/>
    <w:rsid w:val="00550CE1"/>
    <w:rsid w:val="005513D7"/>
    <w:rsid w:val="0055159C"/>
    <w:rsid w:val="00551B4E"/>
    <w:rsid w:val="00551B92"/>
    <w:rsid w:val="00552293"/>
    <w:rsid w:val="005522A2"/>
    <w:rsid w:val="005526E2"/>
    <w:rsid w:val="00552AD5"/>
    <w:rsid w:val="005532D9"/>
    <w:rsid w:val="00553C8E"/>
    <w:rsid w:val="0055407D"/>
    <w:rsid w:val="0055430C"/>
    <w:rsid w:val="005543AC"/>
    <w:rsid w:val="005550A4"/>
    <w:rsid w:val="00555FEB"/>
    <w:rsid w:val="00556C1C"/>
    <w:rsid w:val="00556D2B"/>
    <w:rsid w:val="0056036C"/>
    <w:rsid w:val="005606FD"/>
    <w:rsid w:val="00561664"/>
    <w:rsid w:val="00561722"/>
    <w:rsid w:val="00562F52"/>
    <w:rsid w:val="00562FFD"/>
    <w:rsid w:val="00563031"/>
    <w:rsid w:val="005631BA"/>
    <w:rsid w:val="00563339"/>
    <w:rsid w:val="005634D7"/>
    <w:rsid w:val="00563C46"/>
    <w:rsid w:val="005640AA"/>
    <w:rsid w:val="00565423"/>
    <w:rsid w:val="00565520"/>
    <w:rsid w:val="00565B89"/>
    <w:rsid w:val="00565D96"/>
    <w:rsid w:val="00566559"/>
    <w:rsid w:val="00566900"/>
    <w:rsid w:val="00567054"/>
    <w:rsid w:val="005674C4"/>
    <w:rsid w:val="00567A84"/>
    <w:rsid w:val="00570168"/>
    <w:rsid w:val="00570464"/>
    <w:rsid w:val="00570ADD"/>
    <w:rsid w:val="00570FD1"/>
    <w:rsid w:val="00571199"/>
    <w:rsid w:val="00572133"/>
    <w:rsid w:val="0057253F"/>
    <w:rsid w:val="0057279F"/>
    <w:rsid w:val="00572F99"/>
    <w:rsid w:val="00573FB9"/>
    <w:rsid w:val="005746D8"/>
    <w:rsid w:val="00574942"/>
    <w:rsid w:val="0057542C"/>
    <w:rsid w:val="00576651"/>
    <w:rsid w:val="00577090"/>
    <w:rsid w:val="00577DEF"/>
    <w:rsid w:val="005815C9"/>
    <w:rsid w:val="00581D68"/>
    <w:rsid w:val="00582680"/>
    <w:rsid w:val="005826A3"/>
    <w:rsid w:val="005829BE"/>
    <w:rsid w:val="0058309B"/>
    <w:rsid w:val="005833C0"/>
    <w:rsid w:val="00583817"/>
    <w:rsid w:val="00583D71"/>
    <w:rsid w:val="0058411E"/>
    <w:rsid w:val="00586525"/>
    <w:rsid w:val="005872C9"/>
    <w:rsid w:val="00587E95"/>
    <w:rsid w:val="005909D4"/>
    <w:rsid w:val="005913A6"/>
    <w:rsid w:val="00591463"/>
    <w:rsid w:val="005923B0"/>
    <w:rsid w:val="00592971"/>
    <w:rsid w:val="005931E8"/>
    <w:rsid w:val="00593A8E"/>
    <w:rsid w:val="00593CE6"/>
    <w:rsid w:val="00594476"/>
    <w:rsid w:val="005949DB"/>
    <w:rsid w:val="005955AB"/>
    <w:rsid w:val="00596497"/>
    <w:rsid w:val="0059691B"/>
    <w:rsid w:val="005977F8"/>
    <w:rsid w:val="005A09F5"/>
    <w:rsid w:val="005A0DF5"/>
    <w:rsid w:val="005A1073"/>
    <w:rsid w:val="005A15FB"/>
    <w:rsid w:val="005A1C0D"/>
    <w:rsid w:val="005A2CDE"/>
    <w:rsid w:val="005A34AB"/>
    <w:rsid w:val="005A565B"/>
    <w:rsid w:val="005A5FE8"/>
    <w:rsid w:val="005A6445"/>
    <w:rsid w:val="005A6479"/>
    <w:rsid w:val="005A6FE8"/>
    <w:rsid w:val="005A7F0E"/>
    <w:rsid w:val="005B0877"/>
    <w:rsid w:val="005B0B2C"/>
    <w:rsid w:val="005B0D99"/>
    <w:rsid w:val="005B183D"/>
    <w:rsid w:val="005B30E6"/>
    <w:rsid w:val="005B40D5"/>
    <w:rsid w:val="005B4141"/>
    <w:rsid w:val="005B46F0"/>
    <w:rsid w:val="005B478B"/>
    <w:rsid w:val="005B4CDA"/>
    <w:rsid w:val="005B5128"/>
    <w:rsid w:val="005B5890"/>
    <w:rsid w:val="005B6A81"/>
    <w:rsid w:val="005B6CB0"/>
    <w:rsid w:val="005B7B90"/>
    <w:rsid w:val="005C021C"/>
    <w:rsid w:val="005C12A4"/>
    <w:rsid w:val="005C1FCB"/>
    <w:rsid w:val="005C2E38"/>
    <w:rsid w:val="005C345A"/>
    <w:rsid w:val="005C3685"/>
    <w:rsid w:val="005C3F75"/>
    <w:rsid w:val="005C42E7"/>
    <w:rsid w:val="005C42F7"/>
    <w:rsid w:val="005C4426"/>
    <w:rsid w:val="005C46B6"/>
    <w:rsid w:val="005C4A65"/>
    <w:rsid w:val="005C4EBE"/>
    <w:rsid w:val="005C7626"/>
    <w:rsid w:val="005C7AA9"/>
    <w:rsid w:val="005D03D9"/>
    <w:rsid w:val="005D09D7"/>
    <w:rsid w:val="005D0FF5"/>
    <w:rsid w:val="005D19A1"/>
    <w:rsid w:val="005D2414"/>
    <w:rsid w:val="005D399A"/>
    <w:rsid w:val="005D3F4B"/>
    <w:rsid w:val="005D410B"/>
    <w:rsid w:val="005D4168"/>
    <w:rsid w:val="005D429A"/>
    <w:rsid w:val="005D54DC"/>
    <w:rsid w:val="005D58F3"/>
    <w:rsid w:val="005D5B50"/>
    <w:rsid w:val="005D68D3"/>
    <w:rsid w:val="005D6B50"/>
    <w:rsid w:val="005D6F11"/>
    <w:rsid w:val="005D70E2"/>
    <w:rsid w:val="005D7886"/>
    <w:rsid w:val="005D7CF0"/>
    <w:rsid w:val="005E033E"/>
    <w:rsid w:val="005E1A07"/>
    <w:rsid w:val="005E20AE"/>
    <w:rsid w:val="005E2B05"/>
    <w:rsid w:val="005E361E"/>
    <w:rsid w:val="005E36A3"/>
    <w:rsid w:val="005E3C84"/>
    <w:rsid w:val="005E479E"/>
    <w:rsid w:val="005E4BC8"/>
    <w:rsid w:val="005E4DCD"/>
    <w:rsid w:val="005E5300"/>
    <w:rsid w:val="005E5CA2"/>
    <w:rsid w:val="005E60FD"/>
    <w:rsid w:val="005E7262"/>
    <w:rsid w:val="005E72D5"/>
    <w:rsid w:val="005E72DD"/>
    <w:rsid w:val="005E7F5B"/>
    <w:rsid w:val="005F0C2F"/>
    <w:rsid w:val="005F1A90"/>
    <w:rsid w:val="005F37FF"/>
    <w:rsid w:val="005F42D0"/>
    <w:rsid w:val="005F471D"/>
    <w:rsid w:val="005F5744"/>
    <w:rsid w:val="005F57C0"/>
    <w:rsid w:val="005F5A2D"/>
    <w:rsid w:val="005F6B35"/>
    <w:rsid w:val="0060050F"/>
    <w:rsid w:val="00600A12"/>
    <w:rsid w:val="006010CC"/>
    <w:rsid w:val="006012C4"/>
    <w:rsid w:val="00601DCC"/>
    <w:rsid w:val="00602036"/>
    <w:rsid w:val="0060227F"/>
    <w:rsid w:val="00602423"/>
    <w:rsid w:val="00602642"/>
    <w:rsid w:val="00603075"/>
    <w:rsid w:val="006045A2"/>
    <w:rsid w:val="00604885"/>
    <w:rsid w:val="00604A3D"/>
    <w:rsid w:val="00604F69"/>
    <w:rsid w:val="00605694"/>
    <w:rsid w:val="0060570E"/>
    <w:rsid w:val="00605C65"/>
    <w:rsid w:val="006061DD"/>
    <w:rsid w:val="0060670E"/>
    <w:rsid w:val="0060720A"/>
    <w:rsid w:val="006079A6"/>
    <w:rsid w:val="00607B45"/>
    <w:rsid w:val="00610070"/>
    <w:rsid w:val="00610144"/>
    <w:rsid w:val="00610C85"/>
    <w:rsid w:val="00610F0C"/>
    <w:rsid w:val="006110E9"/>
    <w:rsid w:val="00611369"/>
    <w:rsid w:val="00611C29"/>
    <w:rsid w:val="00612191"/>
    <w:rsid w:val="00612BBF"/>
    <w:rsid w:val="006130D7"/>
    <w:rsid w:val="006135B7"/>
    <w:rsid w:val="006141CD"/>
    <w:rsid w:val="006144B6"/>
    <w:rsid w:val="00614598"/>
    <w:rsid w:val="00614B2F"/>
    <w:rsid w:val="00614B4B"/>
    <w:rsid w:val="006155EC"/>
    <w:rsid w:val="0061580F"/>
    <w:rsid w:val="0061597C"/>
    <w:rsid w:val="006200A6"/>
    <w:rsid w:val="006202DA"/>
    <w:rsid w:val="00620BB4"/>
    <w:rsid w:val="0062367A"/>
    <w:rsid w:val="00623C79"/>
    <w:rsid w:val="00623DB5"/>
    <w:rsid w:val="00624BAC"/>
    <w:rsid w:val="00625323"/>
    <w:rsid w:val="00625B56"/>
    <w:rsid w:val="00626486"/>
    <w:rsid w:val="00626953"/>
    <w:rsid w:val="00626B83"/>
    <w:rsid w:val="00627AAD"/>
    <w:rsid w:val="0063082F"/>
    <w:rsid w:val="00630BE7"/>
    <w:rsid w:val="00630E92"/>
    <w:rsid w:val="006318EE"/>
    <w:rsid w:val="00631B96"/>
    <w:rsid w:val="00631BBA"/>
    <w:rsid w:val="006325C7"/>
    <w:rsid w:val="00632864"/>
    <w:rsid w:val="0063312E"/>
    <w:rsid w:val="006346E6"/>
    <w:rsid w:val="006348AD"/>
    <w:rsid w:val="00634E33"/>
    <w:rsid w:val="006352F0"/>
    <w:rsid w:val="00636C38"/>
    <w:rsid w:val="006374BC"/>
    <w:rsid w:val="00640B1D"/>
    <w:rsid w:val="00642C10"/>
    <w:rsid w:val="00642CA6"/>
    <w:rsid w:val="00643A6C"/>
    <w:rsid w:val="00643BC0"/>
    <w:rsid w:val="00643E84"/>
    <w:rsid w:val="00643FD5"/>
    <w:rsid w:val="006447CD"/>
    <w:rsid w:val="0064588C"/>
    <w:rsid w:val="00646271"/>
    <w:rsid w:val="006462D6"/>
    <w:rsid w:val="006464E5"/>
    <w:rsid w:val="00647023"/>
    <w:rsid w:val="00647689"/>
    <w:rsid w:val="00647E06"/>
    <w:rsid w:val="006503E2"/>
    <w:rsid w:val="0065110C"/>
    <w:rsid w:val="00651180"/>
    <w:rsid w:val="006511A0"/>
    <w:rsid w:val="006511F0"/>
    <w:rsid w:val="006513D1"/>
    <w:rsid w:val="006518B0"/>
    <w:rsid w:val="0065227A"/>
    <w:rsid w:val="006523E6"/>
    <w:rsid w:val="006527FA"/>
    <w:rsid w:val="00652FA7"/>
    <w:rsid w:val="00653A31"/>
    <w:rsid w:val="006542F1"/>
    <w:rsid w:val="006557B2"/>
    <w:rsid w:val="00655E85"/>
    <w:rsid w:val="00656064"/>
    <w:rsid w:val="00656551"/>
    <w:rsid w:val="0065679C"/>
    <w:rsid w:val="00656971"/>
    <w:rsid w:val="00656E59"/>
    <w:rsid w:val="00657245"/>
    <w:rsid w:val="006576FE"/>
    <w:rsid w:val="00657E41"/>
    <w:rsid w:val="00657F66"/>
    <w:rsid w:val="00660340"/>
    <w:rsid w:val="0066056A"/>
    <w:rsid w:val="00660A08"/>
    <w:rsid w:val="00660C07"/>
    <w:rsid w:val="00660C48"/>
    <w:rsid w:val="00661993"/>
    <w:rsid w:val="00661BB6"/>
    <w:rsid w:val="00662CC8"/>
    <w:rsid w:val="006639AB"/>
    <w:rsid w:val="006642B3"/>
    <w:rsid w:val="0066525C"/>
    <w:rsid w:val="0066617B"/>
    <w:rsid w:val="0066667C"/>
    <w:rsid w:val="00666C18"/>
    <w:rsid w:val="0066766F"/>
    <w:rsid w:val="00667B70"/>
    <w:rsid w:val="00667D7A"/>
    <w:rsid w:val="006703A7"/>
    <w:rsid w:val="00670B10"/>
    <w:rsid w:val="00670B45"/>
    <w:rsid w:val="0067119C"/>
    <w:rsid w:val="006729A2"/>
    <w:rsid w:val="006739E0"/>
    <w:rsid w:val="00673F4D"/>
    <w:rsid w:val="00674DF4"/>
    <w:rsid w:val="006755EA"/>
    <w:rsid w:val="00675EAF"/>
    <w:rsid w:val="00676358"/>
    <w:rsid w:val="00676654"/>
    <w:rsid w:val="00676861"/>
    <w:rsid w:val="00677628"/>
    <w:rsid w:val="00677ED9"/>
    <w:rsid w:val="006801B0"/>
    <w:rsid w:val="006803CD"/>
    <w:rsid w:val="006809D2"/>
    <w:rsid w:val="00680A0C"/>
    <w:rsid w:val="00680E87"/>
    <w:rsid w:val="00681327"/>
    <w:rsid w:val="00681418"/>
    <w:rsid w:val="00681A5F"/>
    <w:rsid w:val="00681ACB"/>
    <w:rsid w:val="00682ADD"/>
    <w:rsid w:val="00682DAE"/>
    <w:rsid w:val="00683764"/>
    <w:rsid w:val="00683B56"/>
    <w:rsid w:val="00683EE2"/>
    <w:rsid w:val="0068417F"/>
    <w:rsid w:val="00684EF8"/>
    <w:rsid w:val="0068517F"/>
    <w:rsid w:val="00685561"/>
    <w:rsid w:val="00685726"/>
    <w:rsid w:val="0068636E"/>
    <w:rsid w:val="006865F5"/>
    <w:rsid w:val="00686C5D"/>
    <w:rsid w:val="006906A0"/>
    <w:rsid w:val="006907EC"/>
    <w:rsid w:val="00691D9C"/>
    <w:rsid w:val="00692083"/>
    <w:rsid w:val="006932C1"/>
    <w:rsid w:val="00693510"/>
    <w:rsid w:val="00693B3D"/>
    <w:rsid w:val="00693D14"/>
    <w:rsid w:val="00694F0B"/>
    <w:rsid w:val="006957B5"/>
    <w:rsid w:val="0069648D"/>
    <w:rsid w:val="0069658C"/>
    <w:rsid w:val="006967F0"/>
    <w:rsid w:val="006969DE"/>
    <w:rsid w:val="00696FD9"/>
    <w:rsid w:val="006970A5"/>
    <w:rsid w:val="00697127"/>
    <w:rsid w:val="006976C4"/>
    <w:rsid w:val="006978DE"/>
    <w:rsid w:val="006A0099"/>
    <w:rsid w:val="006A0313"/>
    <w:rsid w:val="006A0C6C"/>
    <w:rsid w:val="006A12A9"/>
    <w:rsid w:val="006A1356"/>
    <w:rsid w:val="006A144E"/>
    <w:rsid w:val="006A196F"/>
    <w:rsid w:val="006A1CC0"/>
    <w:rsid w:val="006A270F"/>
    <w:rsid w:val="006A2963"/>
    <w:rsid w:val="006A2B21"/>
    <w:rsid w:val="006A2DC1"/>
    <w:rsid w:val="006A3A16"/>
    <w:rsid w:val="006A46E2"/>
    <w:rsid w:val="006A4F27"/>
    <w:rsid w:val="006A5572"/>
    <w:rsid w:val="006A569D"/>
    <w:rsid w:val="006A599A"/>
    <w:rsid w:val="006A5A97"/>
    <w:rsid w:val="006A6656"/>
    <w:rsid w:val="006A6A41"/>
    <w:rsid w:val="006A7416"/>
    <w:rsid w:val="006A7A9F"/>
    <w:rsid w:val="006B0192"/>
    <w:rsid w:val="006B1728"/>
    <w:rsid w:val="006B1B8F"/>
    <w:rsid w:val="006B2333"/>
    <w:rsid w:val="006B27A7"/>
    <w:rsid w:val="006B2F3D"/>
    <w:rsid w:val="006B374A"/>
    <w:rsid w:val="006B4749"/>
    <w:rsid w:val="006B4A47"/>
    <w:rsid w:val="006B4B37"/>
    <w:rsid w:val="006B58AE"/>
    <w:rsid w:val="006B5F9D"/>
    <w:rsid w:val="006B5FDA"/>
    <w:rsid w:val="006B60B8"/>
    <w:rsid w:val="006B6663"/>
    <w:rsid w:val="006B6DD1"/>
    <w:rsid w:val="006B76DC"/>
    <w:rsid w:val="006C069F"/>
    <w:rsid w:val="006C0B3C"/>
    <w:rsid w:val="006C0D0E"/>
    <w:rsid w:val="006C0DB1"/>
    <w:rsid w:val="006C24D6"/>
    <w:rsid w:val="006C387F"/>
    <w:rsid w:val="006C3F48"/>
    <w:rsid w:val="006C4024"/>
    <w:rsid w:val="006C418D"/>
    <w:rsid w:val="006C422F"/>
    <w:rsid w:val="006C533D"/>
    <w:rsid w:val="006C605D"/>
    <w:rsid w:val="006C6216"/>
    <w:rsid w:val="006C661B"/>
    <w:rsid w:val="006C6BE6"/>
    <w:rsid w:val="006C6D61"/>
    <w:rsid w:val="006C6D8E"/>
    <w:rsid w:val="006C78BA"/>
    <w:rsid w:val="006C7FFB"/>
    <w:rsid w:val="006D017F"/>
    <w:rsid w:val="006D15F1"/>
    <w:rsid w:val="006D17B5"/>
    <w:rsid w:val="006D1A55"/>
    <w:rsid w:val="006D247E"/>
    <w:rsid w:val="006D2AD3"/>
    <w:rsid w:val="006D2C43"/>
    <w:rsid w:val="006D2EF9"/>
    <w:rsid w:val="006D302E"/>
    <w:rsid w:val="006D3EC0"/>
    <w:rsid w:val="006D4C36"/>
    <w:rsid w:val="006D50D1"/>
    <w:rsid w:val="006D52CC"/>
    <w:rsid w:val="006D66C0"/>
    <w:rsid w:val="006E083C"/>
    <w:rsid w:val="006E0C79"/>
    <w:rsid w:val="006E2140"/>
    <w:rsid w:val="006E2C6E"/>
    <w:rsid w:val="006E2DFF"/>
    <w:rsid w:val="006E2EF9"/>
    <w:rsid w:val="006E3238"/>
    <w:rsid w:val="006E333B"/>
    <w:rsid w:val="006E3345"/>
    <w:rsid w:val="006E43AA"/>
    <w:rsid w:val="006E48C7"/>
    <w:rsid w:val="006E48D0"/>
    <w:rsid w:val="006E4DCB"/>
    <w:rsid w:val="006E5F02"/>
    <w:rsid w:val="006E6E8E"/>
    <w:rsid w:val="006E7210"/>
    <w:rsid w:val="006E7445"/>
    <w:rsid w:val="006E7D9C"/>
    <w:rsid w:val="006F0DC2"/>
    <w:rsid w:val="006F0EB7"/>
    <w:rsid w:val="006F10EA"/>
    <w:rsid w:val="006F205B"/>
    <w:rsid w:val="006F27EF"/>
    <w:rsid w:val="006F2CE6"/>
    <w:rsid w:val="006F302F"/>
    <w:rsid w:val="006F34F1"/>
    <w:rsid w:val="006F3FA2"/>
    <w:rsid w:val="006F449F"/>
    <w:rsid w:val="006F44E8"/>
    <w:rsid w:val="006F5E99"/>
    <w:rsid w:val="006F6F86"/>
    <w:rsid w:val="006F74F9"/>
    <w:rsid w:val="006F754E"/>
    <w:rsid w:val="006F7C12"/>
    <w:rsid w:val="007025A7"/>
    <w:rsid w:val="007030EE"/>
    <w:rsid w:val="00703AF9"/>
    <w:rsid w:val="00703BB8"/>
    <w:rsid w:val="00705472"/>
    <w:rsid w:val="00706C37"/>
    <w:rsid w:val="00707206"/>
    <w:rsid w:val="0070789A"/>
    <w:rsid w:val="00707B78"/>
    <w:rsid w:val="00707DEE"/>
    <w:rsid w:val="007101A1"/>
    <w:rsid w:val="0071068A"/>
    <w:rsid w:val="00710E18"/>
    <w:rsid w:val="00710E41"/>
    <w:rsid w:val="00710EC2"/>
    <w:rsid w:val="00711F0D"/>
    <w:rsid w:val="0071217B"/>
    <w:rsid w:val="00713138"/>
    <w:rsid w:val="007134BE"/>
    <w:rsid w:val="00714A3D"/>
    <w:rsid w:val="00714DB5"/>
    <w:rsid w:val="00714E75"/>
    <w:rsid w:val="00715BA5"/>
    <w:rsid w:val="007202B8"/>
    <w:rsid w:val="00720722"/>
    <w:rsid w:val="00720EEB"/>
    <w:rsid w:val="0072152D"/>
    <w:rsid w:val="00722A32"/>
    <w:rsid w:val="00722B5C"/>
    <w:rsid w:val="007230BE"/>
    <w:rsid w:val="00723981"/>
    <w:rsid w:val="00723B9A"/>
    <w:rsid w:val="00723C7D"/>
    <w:rsid w:val="00723DF2"/>
    <w:rsid w:val="007240FE"/>
    <w:rsid w:val="00724B46"/>
    <w:rsid w:val="00724D13"/>
    <w:rsid w:val="00725CA8"/>
    <w:rsid w:val="00725D32"/>
    <w:rsid w:val="00727AE9"/>
    <w:rsid w:val="00727DD8"/>
    <w:rsid w:val="00730B97"/>
    <w:rsid w:val="00730F72"/>
    <w:rsid w:val="00731630"/>
    <w:rsid w:val="0073226C"/>
    <w:rsid w:val="00732299"/>
    <w:rsid w:val="00732387"/>
    <w:rsid w:val="007323D5"/>
    <w:rsid w:val="0073274B"/>
    <w:rsid w:val="00732BB2"/>
    <w:rsid w:val="00733085"/>
    <w:rsid w:val="007336AD"/>
    <w:rsid w:val="00733C70"/>
    <w:rsid w:val="0073462F"/>
    <w:rsid w:val="00734B36"/>
    <w:rsid w:val="00734BA7"/>
    <w:rsid w:val="00734D76"/>
    <w:rsid w:val="00736076"/>
    <w:rsid w:val="007362F8"/>
    <w:rsid w:val="00736641"/>
    <w:rsid w:val="0073790D"/>
    <w:rsid w:val="00740765"/>
    <w:rsid w:val="007407BA"/>
    <w:rsid w:val="00740B6A"/>
    <w:rsid w:val="00740C54"/>
    <w:rsid w:val="007412A1"/>
    <w:rsid w:val="00741595"/>
    <w:rsid w:val="00742FEC"/>
    <w:rsid w:val="00743CF0"/>
    <w:rsid w:val="007443C4"/>
    <w:rsid w:val="00744D39"/>
    <w:rsid w:val="007451F4"/>
    <w:rsid w:val="00745364"/>
    <w:rsid w:val="00745855"/>
    <w:rsid w:val="00745B3F"/>
    <w:rsid w:val="00745CBB"/>
    <w:rsid w:val="00745CDD"/>
    <w:rsid w:val="007464F3"/>
    <w:rsid w:val="00746696"/>
    <w:rsid w:val="00746765"/>
    <w:rsid w:val="00746898"/>
    <w:rsid w:val="007477B3"/>
    <w:rsid w:val="00747D9C"/>
    <w:rsid w:val="00747FD3"/>
    <w:rsid w:val="00750BA5"/>
    <w:rsid w:val="00750D68"/>
    <w:rsid w:val="0075109A"/>
    <w:rsid w:val="00751A89"/>
    <w:rsid w:val="0075215E"/>
    <w:rsid w:val="007529FD"/>
    <w:rsid w:val="00752ABB"/>
    <w:rsid w:val="00752B62"/>
    <w:rsid w:val="00753411"/>
    <w:rsid w:val="00753821"/>
    <w:rsid w:val="00753C3D"/>
    <w:rsid w:val="007559BE"/>
    <w:rsid w:val="00755A59"/>
    <w:rsid w:val="00755D23"/>
    <w:rsid w:val="00756656"/>
    <w:rsid w:val="0075727A"/>
    <w:rsid w:val="0075793C"/>
    <w:rsid w:val="00760767"/>
    <w:rsid w:val="0076130C"/>
    <w:rsid w:val="0076199B"/>
    <w:rsid w:val="007622C3"/>
    <w:rsid w:val="00762D45"/>
    <w:rsid w:val="00762F59"/>
    <w:rsid w:val="00763210"/>
    <w:rsid w:val="007633CF"/>
    <w:rsid w:val="007633E7"/>
    <w:rsid w:val="00763E02"/>
    <w:rsid w:val="00764047"/>
    <w:rsid w:val="00764408"/>
    <w:rsid w:val="007645BB"/>
    <w:rsid w:val="00764605"/>
    <w:rsid w:val="007647BA"/>
    <w:rsid w:val="00764DBD"/>
    <w:rsid w:val="0076519D"/>
    <w:rsid w:val="00765924"/>
    <w:rsid w:val="00765D5B"/>
    <w:rsid w:val="00765D9D"/>
    <w:rsid w:val="0076651C"/>
    <w:rsid w:val="00766540"/>
    <w:rsid w:val="00766865"/>
    <w:rsid w:val="00767956"/>
    <w:rsid w:val="00770179"/>
    <w:rsid w:val="00770304"/>
    <w:rsid w:val="00770393"/>
    <w:rsid w:val="00770E75"/>
    <w:rsid w:val="00771ABC"/>
    <w:rsid w:val="00771D32"/>
    <w:rsid w:val="00772E8B"/>
    <w:rsid w:val="0077404A"/>
    <w:rsid w:val="00775E88"/>
    <w:rsid w:val="00775F71"/>
    <w:rsid w:val="00776D84"/>
    <w:rsid w:val="00780425"/>
    <w:rsid w:val="0078100A"/>
    <w:rsid w:val="0078165C"/>
    <w:rsid w:val="0078168B"/>
    <w:rsid w:val="007818B9"/>
    <w:rsid w:val="00782311"/>
    <w:rsid w:val="00782D09"/>
    <w:rsid w:val="00782DCA"/>
    <w:rsid w:val="007840DD"/>
    <w:rsid w:val="00784A46"/>
    <w:rsid w:val="00784C0C"/>
    <w:rsid w:val="00787F2A"/>
    <w:rsid w:val="00790348"/>
    <w:rsid w:val="0079080A"/>
    <w:rsid w:val="0079085B"/>
    <w:rsid w:val="00790AE7"/>
    <w:rsid w:val="00790B12"/>
    <w:rsid w:val="00790FF2"/>
    <w:rsid w:val="00791253"/>
    <w:rsid w:val="00791447"/>
    <w:rsid w:val="00791970"/>
    <w:rsid w:val="007929CA"/>
    <w:rsid w:val="00792D40"/>
    <w:rsid w:val="0079308C"/>
    <w:rsid w:val="00793565"/>
    <w:rsid w:val="007938C3"/>
    <w:rsid w:val="00793E19"/>
    <w:rsid w:val="00795071"/>
    <w:rsid w:val="007950CA"/>
    <w:rsid w:val="007966F1"/>
    <w:rsid w:val="00797109"/>
    <w:rsid w:val="0079792E"/>
    <w:rsid w:val="007A0362"/>
    <w:rsid w:val="007A0DC0"/>
    <w:rsid w:val="007A1216"/>
    <w:rsid w:val="007A2113"/>
    <w:rsid w:val="007A25EF"/>
    <w:rsid w:val="007A2AF3"/>
    <w:rsid w:val="007A2BC1"/>
    <w:rsid w:val="007A305D"/>
    <w:rsid w:val="007A374B"/>
    <w:rsid w:val="007A3C82"/>
    <w:rsid w:val="007A4E21"/>
    <w:rsid w:val="007A57AD"/>
    <w:rsid w:val="007A58B9"/>
    <w:rsid w:val="007A5CCD"/>
    <w:rsid w:val="007A7166"/>
    <w:rsid w:val="007A7312"/>
    <w:rsid w:val="007A7938"/>
    <w:rsid w:val="007A7DCA"/>
    <w:rsid w:val="007B03DF"/>
    <w:rsid w:val="007B0A40"/>
    <w:rsid w:val="007B0E26"/>
    <w:rsid w:val="007B17D5"/>
    <w:rsid w:val="007B1B48"/>
    <w:rsid w:val="007B1E94"/>
    <w:rsid w:val="007B23E6"/>
    <w:rsid w:val="007B2758"/>
    <w:rsid w:val="007B3220"/>
    <w:rsid w:val="007B3E24"/>
    <w:rsid w:val="007B3EF8"/>
    <w:rsid w:val="007B47D2"/>
    <w:rsid w:val="007B4D7E"/>
    <w:rsid w:val="007B5764"/>
    <w:rsid w:val="007B6744"/>
    <w:rsid w:val="007B6B82"/>
    <w:rsid w:val="007B6DC9"/>
    <w:rsid w:val="007C027B"/>
    <w:rsid w:val="007C029F"/>
    <w:rsid w:val="007C04DE"/>
    <w:rsid w:val="007C09ED"/>
    <w:rsid w:val="007C0C50"/>
    <w:rsid w:val="007C18D1"/>
    <w:rsid w:val="007C19BF"/>
    <w:rsid w:val="007C2069"/>
    <w:rsid w:val="007C2514"/>
    <w:rsid w:val="007C296C"/>
    <w:rsid w:val="007C2A90"/>
    <w:rsid w:val="007C37F0"/>
    <w:rsid w:val="007C37FB"/>
    <w:rsid w:val="007C3859"/>
    <w:rsid w:val="007C4C92"/>
    <w:rsid w:val="007C4D33"/>
    <w:rsid w:val="007C4E94"/>
    <w:rsid w:val="007C4EA8"/>
    <w:rsid w:val="007C5583"/>
    <w:rsid w:val="007C5984"/>
    <w:rsid w:val="007C6719"/>
    <w:rsid w:val="007C6A77"/>
    <w:rsid w:val="007C6B6A"/>
    <w:rsid w:val="007C6C70"/>
    <w:rsid w:val="007C70B2"/>
    <w:rsid w:val="007C75E2"/>
    <w:rsid w:val="007C7897"/>
    <w:rsid w:val="007C792B"/>
    <w:rsid w:val="007C79F4"/>
    <w:rsid w:val="007D1AFF"/>
    <w:rsid w:val="007D2616"/>
    <w:rsid w:val="007D2A94"/>
    <w:rsid w:val="007D3159"/>
    <w:rsid w:val="007D3357"/>
    <w:rsid w:val="007D3788"/>
    <w:rsid w:val="007D4B4F"/>
    <w:rsid w:val="007D504E"/>
    <w:rsid w:val="007D5F0E"/>
    <w:rsid w:val="007D6564"/>
    <w:rsid w:val="007D71B3"/>
    <w:rsid w:val="007D7D5F"/>
    <w:rsid w:val="007E00C2"/>
    <w:rsid w:val="007E026B"/>
    <w:rsid w:val="007E0FD7"/>
    <w:rsid w:val="007E2053"/>
    <w:rsid w:val="007E2532"/>
    <w:rsid w:val="007E2740"/>
    <w:rsid w:val="007E3EDE"/>
    <w:rsid w:val="007E40D6"/>
    <w:rsid w:val="007E4601"/>
    <w:rsid w:val="007E4CF9"/>
    <w:rsid w:val="007E5154"/>
    <w:rsid w:val="007E53CB"/>
    <w:rsid w:val="007E624E"/>
    <w:rsid w:val="007E64A6"/>
    <w:rsid w:val="007E6A6E"/>
    <w:rsid w:val="007E6A80"/>
    <w:rsid w:val="007E745D"/>
    <w:rsid w:val="007E78C9"/>
    <w:rsid w:val="007F01D3"/>
    <w:rsid w:val="007F0AA6"/>
    <w:rsid w:val="007F14B2"/>
    <w:rsid w:val="007F187B"/>
    <w:rsid w:val="007F1A9C"/>
    <w:rsid w:val="007F1DC5"/>
    <w:rsid w:val="007F2448"/>
    <w:rsid w:val="007F3AA7"/>
    <w:rsid w:val="007F3C61"/>
    <w:rsid w:val="007F510E"/>
    <w:rsid w:val="007F527C"/>
    <w:rsid w:val="007F66E4"/>
    <w:rsid w:val="007F69B0"/>
    <w:rsid w:val="007F75FF"/>
    <w:rsid w:val="007F7804"/>
    <w:rsid w:val="008000A8"/>
    <w:rsid w:val="0080041D"/>
    <w:rsid w:val="0080051F"/>
    <w:rsid w:val="00800716"/>
    <w:rsid w:val="00801C28"/>
    <w:rsid w:val="00801D80"/>
    <w:rsid w:val="008027F7"/>
    <w:rsid w:val="008046C5"/>
    <w:rsid w:val="00804B1E"/>
    <w:rsid w:val="00804F24"/>
    <w:rsid w:val="0080510E"/>
    <w:rsid w:val="008051DE"/>
    <w:rsid w:val="0080606F"/>
    <w:rsid w:val="008068CC"/>
    <w:rsid w:val="0080750C"/>
    <w:rsid w:val="0080766E"/>
    <w:rsid w:val="008076BF"/>
    <w:rsid w:val="00811AF1"/>
    <w:rsid w:val="008127A4"/>
    <w:rsid w:val="00812C87"/>
    <w:rsid w:val="00814C1B"/>
    <w:rsid w:val="00814C7B"/>
    <w:rsid w:val="00815208"/>
    <w:rsid w:val="0081537A"/>
    <w:rsid w:val="00815614"/>
    <w:rsid w:val="00815787"/>
    <w:rsid w:val="00815CFC"/>
    <w:rsid w:val="00816194"/>
    <w:rsid w:val="0081644F"/>
    <w:rsid w:val="008166EC"/>
    <w:rsid w:val="0081745F"/>
    <w:rsid w:val="00820091"/>
    <w:rsid w:val="0082012C"/>
    <w:rsid w:val="008208CE"/>
    <w:rsid w:val="00820F34"/>
    <w:rsid w:val="0082136B"/>
    <w:rsid w:val="00821F40"/>
    <w:rsid w:val="00822DED"/>
    <w:rsid w:val="00822EBE"/>
    <w:rsid w:val="00822F4F"/>
    <w:rsid w:val="00823057"/>
    <w:rsid w:val="00823880"/>
    <w:rsid w:val="00823973"/>
    <w:rsid w:val="00823FF5"/>
    <w:rsid w:val="008244A7"/>
    <w:rsid w:val="008246F2"/>
    <w:rsid w:val="0082479B"/>
    <w:rsid w:val="00824ED3"/>
    <w:rsid w:val="00825AEC"/>
    <w:rsid w:val="00826593"/>
    <w:rsid w:val="00826D80"/>
    <w:rsid w:val="0082731F"/>
    <w:rsid w:val="0082735D"/>
    <w:rsid w:val="0082748E"/>
    <w:rsid w:val="00827862"/>
    <w:rsid w:val="008308FC"/>
    <w:rsid w:val="0083150C"/>
    <w:rsid w:val="008326C7"/>
    <w:rsid w:val="00832F3A"/>
    <w:rsid w:val="008334EC"/>
    <w:rsid w:val="00833840"/>
    <w:rsid w:val="00834D33"/>
    <w:rsid w:val="00835230"/>
    <w:rsid w:val="00835790"/>
    <w:rsid w:val="008362CA"/>
    <w:rsid w:val="008363D0"/>
    <w:rsid w:val="0083697B"/>
    <w:rsid w:val="0084001F"/>
    <w:rsid w:val="00840171"/>
    <w:rsid w:val="00840567"/>
    <w:rsid w:val="00840794"/>
    <w:rsid w:val="00840BB8"/>
    <w:rsid w:val="00841741"/>
    <w:rsid w:val="00841A61"/>
    <w:rsid w:val="00841B8A"/>
    <w:rsid w:val="00841FCD"/>
    <w:rsid w:val="00842454"/>
    <w:rsid w:val="0084255B"/>
    <w:rsid w:val="00842D23"/>
    <w:rsid w:val="008438EB"/>
    <w:rsid w:val="00843AD3"/>
    <w:rsid w:val="008445EC"/>
    <w:rsid w:val="00844AD2"/>
    <w:rsid w:val="00844F29"/>
    <w:rsid w:val="00844FD4"/>
    <w:rsid w:val="008456B2"/>
    <w:rsid w:val="008461E6"/>
    <w:rsid w:val="008475D0"/>
    <w:rsid w:val="00847997"/>
    <w:rsid w:val="0085003C"/>
    <w:rsid w:val="00850592"/>
    <w:rsid w:val="00850AB3"/>
    <w:rsid w:val="0085233D"/>
    <w:rsid w:val="00852A6D"/>
    <w:rsid w:val="00852E5A"/>
    <w:rsid w:val="00853C9D"/>
    <w:rsid w:val="0085442E"/>
    <w:rsid w:val="008550E1"/>
    <w:rsid w:val="00855A65"/>
    <w:rsid w:val="00856F37"/>
    <w:rsid w:val="00856FF5"/>
    <w:rsid w:val="00857AA3"/>
    <w:rsid w:val="00860156"/>
    <w:rsid w:val="008603FF"/>
    <w:rsid w:val="008632FE"/>
    <w:rsid w:val="008633A0"/>
    <w:rsid w:val="00864F6C"/>
    <w:rsid w:val="00865F6A"/>
    <w:rsid w:val="008668E0"/>
    <w:rsid w:val="008669EA"/>
    <w:rsid w:val="008671B3"/>
    <w:rsid w:val="0086720D"/>
    <w:rsid w:val="0086783F"/>
    <w:rsid w:val="00870012"/>
    <w:rsid w:val="00871002"/>
    <w:rsid w:val="00871814"/>
    <w:rsid w:val="00871A6A"/>
    <w:rsid w:val="00871A75"/>
    <w:rsid w:val="00871C9C"/>
    <w:rsid w:val="00873407"/>
    <w:rsid w:val="00873E8A"/>
    <w:rsid w:val="00874739"/>
    <w:rsid w:val="0087518E"/>
    <w:rsid w:val="00876C9C"/>
    <w:rsid w:val="00876D22"/>
    <w:rsid w:val="00876FC6"/>
    <w:rsid w:val="008771A9"/>
    <w:rsid w:val="0088042A"/>
    <w:rsid w:val="0088083E"/>
    <w:rsid w:val="00880B19"/>
    <w:rsid w:val="008813FC"/>
    <w:rsid w:val="00881517"/>
    <w:rsid w:val="00882D66"/>
    <w:rsid w:val="00882FE2"/>
    <w:rsid w:val="00883E33"/>
    <w:rsid w:val="008842B7"/>
    <w:rsid w:val="0088471E"/>
    <w:rsid w:val="00886055"/>
    <w:rsid w:val="00886066"/>
    <w:rsid w:val="00886462"/>
    <w:rsid w:val="0088683C"/>
    <w:rsid w:val="00886871"/>
    <w:rsid w:val="008868C0"/>
    <w:rsid w:val="00886B2C"/>
    <w:rsid w:val="00886E82"/>
    <w:rsid w:val="008879F9"/>
    <w:rsid w:val="00887A8D"/>
    <w:rsid w:val="00887CC1"/>
    <w:rsid w:val="008908D7"/>
    <w:rsid w:val="00891496"/>
    <w:rsid w:val="0089177A"/>
    <w:rsid w:val="00893461"/>
    <w:rsid w:val="0089373B"/>
    <w:rsid w:val="00893A9D"/>
    <w:rsid w:val="00893FC5"/>
    <w:rsid w:val="008948A1"/>
    <w:rsid w:val="0089528D"/>
    <w:rsid w:val="00896B2A"/>
    <w:rsid w:val="00896BC1"/>
    <w:rsid w:val="008971F9"/>
    <w:rsid w:val="00897544"/>
    <w:rsid w:val="008979D7"/>
    <w:rsid w:val="008A0B7E"/>
    <w:rsid w:val="008A0BC8"/>
    <w:rsid w:val="008A190D"/>
    <w:rsid w:val="008A21B1"/>
    <w:rsid w:val="008A3765"/>
    <w:rsid w:val="008A4014"/>
    <w:rsid w:val="008A4933"/>
    <w:rsid w:val="008A4BF7"/>
    <w:rsid w:val="008A579D"/>
    <w:rsid w:val="008A6140"/>
    <w:rsid w:val="008A6305"/>
    <w:rsid w:val="008A64B6"/>
    <w:rsid w:val="008A682A"/>
    <w:rsid w:val="008A764A"/>
    <w:rsid w:val="008A7767"/>
    <w:rsid w:val="008A7E5D"/>
    <w:rsid w:val="008B01DA"/>
    <w:rsid w:val="008B022F"/>
    <w:rsid w:val="008B0AC2"/>
    <w:rsid w:val="008B0AEF"/>
    <w:rsid w:val="008B1159"/>
    <w:rsid w:val="008B1560"/>
    <w:rsid w:val="008B2AA0"/>
    <w:rsid w:val="008B2DD4"/>
    <w:rsid w:val="008B4FD2"/>
    <w:rsid w:val="008B5B02"/>
    <w:rsid w:val="008B62A0"/>
    <w:rsid w:val="008B6B98"/>
    <w:rsid w:val="008B7386"/>
    <w:rsid w:val="008B739E"/>
    <w:rsid w:val="008C0496"/>
    <w:rsid w:val="008C06CB"/>
    <w:rsid w:val="008C1092"/>
    <w:rsid w:val="008C1FA1"/>
    <w:rsid w:val="008C202D"/>
    <w:rsid w:val="008C20EB"/>
    <w:rsid w:val="008C2818"/>
    <w:rsid w:val="008C2DFC"/>
    <w:rsid w:val="008C30D6"/>
    <w:rsid w:val="008C3FC7"/>
    <w:rsid w:val="008C41B9"/>
    <w:rsid w:val="008C4541"/>
    <w:rsid w:val="008C5B3E"/>
    <w:rsid w:val="008C78A2"/>
    <w:rsid w:val="008D00BD"/>
    <w:rsid w:val="008D00C5"/>
    <w:rsid w:val="008D025D"/>
    <w:rsid w:val="008D0934"/>
    <w:rsid w:val="008D09CF"/>
    <w:rsid w:val="008D1152"/>
    <w:rsid w:val="008D1960"/>
    <w:rsid w:val="008D1DC8"/>
    <w:rsid w:val="008D211C"/>
    <w:rsid w:val="008D236D"/>
    <w:rsid w:val="008D2E58"/>
    <w:rsid w:val="008D2FB7"/>
    <w:rsid w:val="008D3199"/>
    <w:rsid w:val="008D33DB"/>
    <w:rsid w:val="008D3AED"/>
    <w:rsid w:val="008D461C"/>
    <w:rsid w:val="008D644D"/>
    <w:rsid w:val="008D6B37"/>
    <w:rsid w:val="008D6BBA"/>
    <w:rsid w:val="008D79A6"/>
    <w:rsid w:val="008E0235"/>
    <w:rsid w:val="008E0DFA"/>
    <w:rsid w:val="008E15EB"/>
    <w:rsid w:val="008E398F"/>
    <w:rsid w:val="008E4A2B"/>
    <w:rsid w:val="008E51FD"/>
    <w:rsid w:val="008E644B"/>
    <w:rsid w:val="008E64F1"/>
    <w:rsid w:val="008E6737"/>
    <w:rsid w:val="008E680E"/>
    <w:rsid w:val="008E6FDF"/>
    <w:rsid w:val="008E7452"/>
    <w:rsid w:val="008E7E5A"/>
    <w:rsid w:val="008E7F9F"/>
    <w:rsid w:val="008F07FC"/>
    <w:rsid w:val="008F1055"/>
    <w:rsid w:val="008F1F80"/>
    <w:rsid w:val="008F22E8"/>
    <w:rsid w:val="008F2C42"/>
    <w:rsid w:val="008F2E19"/>
    <w:rsid w:val="008F3121"/>
    <w:rsid w:val="008F3D17"/>
    <w:rsid w:val="008F3FD0"/>
    <w:rsid w:val="008F41CA"/>
    <w:rsid w:val="008F46AE"/>
    <w:rsid w:val="008F535C"/>
    <w:rsid w:val="008F565B"/>
    <w:rsid w:val="008F7405"/>
    <w:rsid w:val="008F7A76"/>
    <w:rsid w:val="008F7F2A"/>
    <w:rsid w:val="008F7FF2"/>
    <w:rsid w:val="00900682"/>
    <w:rsid w:val="00900E30"/>
    <w:rsid w:val="00901518"/>
    <w:rsid w:val="00901E9B"/>
    <w:rsid w:val="009036F5"/>
    <w:rsid w:val="00903DC7"/>
    <w:rsid w:val="00903EA7"/>
    <w:rsid w:val="009048EE"/>
    <w:rsid w:val="009049C9"/>
    <w:rsid w:val="009055B0"/>
    <w:rsid w:val="00905903"/>
    <w:rsid w:val="0090605E"/>
    <w:rsid w:val="0090631F"/>
    <w:rsid w:val="0090773A"/>
    <w:rsid w:val="009077E4"/>
    <w:rsid w:val="00907A3E"/>
    <w:rsid w:val="009101FB"/>
    <w:rsid w:val="00910683"/>
    <w:rsid w:val="009119B6"/>
    <w:rsid w:val="009132CF"/>
    <w:rsid w:val="0091363D"/>
    <w:rsid w:val="009138F3"/>
    <w:rsid w:val="00913987"/>
    <w:rsid w:val="00913FFA"/>
    <w:rsid w:val="00914188"/>
    <w:rsid w:val="009145FE"/>
    <w:rsid w:val="0091462E"/>
    <w:rsid w:val="00914E37"/>
    <w:rsid w:val="00914E3C"/>
    <w:rsid w:val="0091587F"/>
    <w:rsid w:val="00916A88"/>
    <w:rsid w:val="00916C8F"/>
    <w:rsid w:val="009170EE"/>
    <w:rsid w:val="009174A5"/>
    <w:rsid w:val="00917C90"/>
    <w:rsid w:val="009201D6"/>
    <w:rsid w:val="009209E4"/>
    <w:rsid w:val="00920D7E"/>
    <w:rsid w:val="00920F8C"/>
    <w:rsid w:val="009215D0"/>
    <w:rsid w:val="0092214E"/>
    <w:rsid w:val="00922892"/>
    <w:rsid w:val="00922904"/>
    <w:rsid w:val="00922FE3"/>
    <w:rsid w:val="0092324C"/>
    <w:rsid w:val="009232C1"/>
    <w:rsid w:val="00924722"/>
    <w:rsid w:val="00924D53"/>
    <w:rsid w:val="00924F03"/>
    <w:rsid w:val="00925CE3"/>
    <w:rsid w:val="00926468"/>
    <w:rsid w:val="00927E1E"/>
    <w:rsid w:val="00930831"/>
    <w:rsid w:val="00931393"/>
    <w:rsid w:val="0093205F"/>
    <w:rsid w:val="0093226B"/>
    <w:rsid w:val="00932EC5"/>
    <w:rsid w:val="0093358F"/>
    <w:rsid w:val="0093373D"/>
    <w:rsid w:val="00933C54"/>
    <w:rsid w:val="009342EE"/>
    <w:rsid w:val="009345DF"/>
    <w:rsid w:val="0093595C"/>
    <w:rsid w:val="00935B4F"/>
    <w:rsid w:val="009360B6"/>
    <w:rsid w:val="009366B2"/>
    <w:rsid w:val="00936BB6"/>
    <w:rsid w:val="009375B6"/>
    <w:rsid w:val="00937DE2"/>
    <w:rsid w:val="009405D7"/>
    <w:rsid w:val="00940BD0"/>
    <w:rsid w:val="009415B9"/>
    <w:rsid w:val="009418FC"/>
    <w:rsid w:val="00941B3E"/>
    <w:rsid w:val="00942E95"/>
    <w:rsid w:val="00943AD7"/>
    <w:rsid w:val="00944109"/>
    <w:rsid w:val="0094422B"/>
    <w:rsid w:val="0094435B"/>
    <w:rsid w:val="009445F8"/>
    <w:rsid w:val="00945033"/>
    <w:rsid w:val="0094593F"/>
    <w:rsid w:val="00945C57"/>
    <w:rsid w:val="009466E0"/>
    <w:rsid w:val="0094722A"/>
    <w:rsid w:val="00947429"/>
    <w:rsid w:val="00950EF8"/>
    <w:rsid w:val="009511C5"/>
    <w:rsid w:val="009515C5"/>
    <w:rsid w:val="00951D66"/>
    <w:rsid w:val="00951E7C"/>
    <w:rsid w:val="0095236F"/>
    <w:rsid w:val="00952651"/>
    <w:rsid w:val="00952931"/>
    <w:rsid w:val="00952B38"/>
    <w:rsid w:val="00952BF6"/>
    <w:rsid w:val="009539AA"/>
    <w:rsid w:val="00953BCA"/>
    <w:rsid w:val="00954696"/>
    <w:rsid w:val="00955180"/>
    <w:rsid w:val="00955872"/>
    <w:rsid w:val="00955F79"/>
    <w:rsid w:val="0095682B"/>
    <w:rsid w:val="00956D6E"/>
    <w:rsid w:val="009571CB"/>
    <w:rsid w:val="00957309"/>
    <w:rsid w:val="00957D26"/>
    <w:rsid w:val="00960F65"/>
    <w:rsid w:val="00961EBD"/>
    <w:rsid w:val="00962BB0"/>
    <w:rsid w:val="00964572"/>
    <w:rsid w:val="00964829"/>
    <w:rsid w:val="00964AE5"/>
    <w:rsid w:val="00965237"/>
    <w:rsid w:val="00965D7E"/>
    <w:rsid w:val="0096624D"/>
    <w:rsid w:val="00966321"/>
    <w:rsid w:val="009663BB"/>
    <w:rsid w:val="009669F4"/>
    <w:rsid w:val="00967385"/>
    <w:rsid w:val="00967822"/>
    <w:rsid w:val="00970762"/>
    <w:rsid w:val="00970A5D"/>
    <w:rsid w:val="00971244"/>
    <w:rsid w:val="00971842"/>
    <w:rsid w:val="00971891"/>
    <w:rsid w:val="0097200F"/>
    <w:rsid w:val="0097245B"/>
    <w:rsid w:val="009726CC"/>
    <w:rsid w:val="0097283D"/>
    <w:rsid w:val="009731E1"/>
    <w:rsid w:val="00973AD9"/>
    <w:rsid w:val="00973FDD"/>
    <w:rsid w:val="00974050"/>
    <w:rsid w:val="009753BB"/>
    <w:rsid w:val="009757F7"/>
    <w:rsid w:val="00975E76"/>
    <w:rsid w:val="00976177"/>
    <w:rsid w:val="00976492"/>
    <w:rsid w:val="00976CC5"/>
    <w:rsid w:val="00976D54"/>
    <w:rsid w:val="00976D5E"/>
    <w:rsid w:val="00977B28"/>
    <w:rsid w:val="00977BA9"/>
    <w:rsid w:val="00977E61"/>
    <w:rsid w:val="00977E6A"/>
    <w:rsid w:val="009802E5"/>
    <w:rsid w:val="0098118D"/>
    <w:rsid w:val="009818B3"/>
    <w:rsid w:val="009823B7"/>
    <w:rsid w:val="00982C7D"/>
    <w:rsid w:val="00982EB6"/>
    <w:rsid w:val="0098313B"/>
    <w:rsid w:val="00983AD1"/>
    <w:rsid w:val="009843E7"/>
    <w:rsid w:val="00984693"/>
    <w:rsid w:val="009846EC"/>
    <w:rsid w:val="00986E78"/>
    <w:rsid w:val="00987B11"/>
    <w:rsid w:val="00987CAA"/>
    <w:rsid w:val="00992CDF"/>
    <w:rsid w:val="0099317C"/>
    <w:rsid w:val="00993917"/>
    <w:rsid w:val="00993B2E"/>
    <w:rsid w:val="0099454A"/>
    <w:rsid w:val="00994CB7"/>
    <w:rsid w:val="00994D02"/>
    <w:rsid w:val="00994E7A"/>
    <w:rsid w:val="00995007"/>
    <w:rsid w:val="00995456"/>
    <w:rsid w:val="009955E3"/>
    <w:rsid w:val="0099730F"/>
    <w:rsid w:val="009A05EB"/>
    <w:rsid w:val="009A1228"/>
    <w:rsid w:val="009A1416"/>
    <w:rsid w:val="009A196B"/>
    <w:rsid w:val="009A1A03"/>
    <w:rsid w:val="009A1A68"/>
    <w:rsid w:val="009A1C5E"/>
    <w:rsid w:val="009A1D57"/>
    <w:rsid w:val="009A26A6"/>
    <w:rsid w:val="009A2871"/>
    <w:rsid w:val="009A4028"/>
    <w:rsid w:val="009A4418"/>
    <w:rsid w:val="009A5BC8"/>
    <w:rsid w:val="009A626F"/>
    <w:rsid w:val="009A6437"/>
    <w:rsid w:val="009A78E4"/>
    <w:rsid w:val="009A79A5"/>
    <w:rsid w:val="009A79C6"/>
    <w:rsid w:val="009A7B0B"/>
    <w:rsid w:val="009B0722"/>
    <w:rsid w:val="009B0736"/>
    <w:rsid w:val="009B0A70"/>
    <w:rsid w:val="009B0CE5"/>
    <w:rsid w:val="009B1F94"/>
    <w:rsid w:val="009B24D1"/>
    <w:rsid w:val="009B274A"/>
    <w:rsid w:val="009B2BA8"/>
    <w:rsid w:val="009B2CA8"/>
    <w:rsid w:val="009B2DB5"/>
    <w:rsid w:val="009B3F4D"/>
    <w:rsid w:val="009B41B3"/>
    <w:rsid w:val="009B450D"/>
    <w:rsid w:val="009B47A1"/>
    <w:rsid w:val="009B5403"/>
    <w:rsid w:val="009B6000"/>
    <w:rsid w:val="009B7A8F"/>
    <w:rsid w:val="009C0567"/>
    <w:rsid w:val="009C05DA"/>
    <w:rsid w:val="009C05FF"/>
    <w:rsid w:val="009C063E"/>
    <w:rsid w:val="009C0E6E"/>
    <w:rsid w:val="009C12CE"/>
    <w:rsid w:val="009C15F8"/>
    <w:rsid w:val="009C1B0B"/>
    <w:rsid w:val="009C4024"/>
    <w:rsid w:val="009C4E50"/>
    <w:rsid w:val="009C616B"/>
    <w:rsid w:val="009C700B"/>
    <w:rsid w:val="009C7CC8"/>
    <w:rsid w:val="009C7D22"/>
    <w:rsid w:val="009D034E"/>
    <w:rsid w:val="009D080D"/>
    <w:rsid w:val="009D0F37"/>
    <w:rsid w:val="009D1427"/>
    <w:rsid w:val="009D27BB"/>
    <w:rsid w:val="009D32C5"/>
    <w:rsid w:val="009D3652"/>
    <w:rsid w:val="009D36F6"/>
    <w:rsid w:val="009D3F07"/>
    <w:rsid w:val="009D426E"/>
    <w:rsid w:val="009D46AE"/>
    <w:rsid w:val="009D4A47"/>
    <w:rsid w:val="009D6497"/>
    <w:rsid w:val="009D6A9C"/>
    <w:rsid w:val="009E0395"/>
    <w:rsid w:val="009E1AE9"/>
    <w:rsid w:val="009E2207"/>
    <w:rsid w:val="009E22E8"/>
    <w:rsid w:val="009E239C"/>
    <w:rsid w:val="009E25F8"/>
    <w:rsid w:val="009E31EB"/>
    <w:rsid w:val="009E5DDC"/>
    <w:rsid w:val="009E5DEE"/>
    <w:rsid w:val="009E6143"/>
    <w:rsid w:val="009E6553"/>
    <w:rsid w:val="009E6CB4"/>
    <w:rsid w:val="009E6E6F"/>
    <w:rsid w:val="009E7ECE"/>
    <w:rsid w:val="009F0287"/>
    <w:rsid w:val="009F06D1"/>
    <w:rsid w:val="009F0791"/>
    <w:rsid w:val="009F1CB9"/>
    <w:rsid w:val="009F21BF"/>
    <w:rsid w:val="009F2288"/>
    <w:rsid w:val="009F2CBD"/>
    <w:rsid w:val="009F2DF6"/>
    <w:rsid w:val="009F2E62"/>
    <w:rsid w:val="009F3227"/>
    <w:rsid w:val="009F37CD"/>
    <w:rsid w:val="009F3B26"/>
    <w:rsid w:val="009F5A9D"/>
    <w:rsid w:val="009F5BC6"/>
    <w:rsid w:val="009F6854"/>
    <w:rsid w:val="009F739F"/>
    <w:rsid w:val="009F785D"/>
    <w:rsid w:val="009F7E80"/>
    <w:rsid w:val="009F7EC0"/>
    <w:rsid w:val="00A0029F"/>
    <w:rsid w:val="00A004A7"/>
    <w:rsid w:val="00A00CD1"/>
    <w:rsid w:val="00A0136E"/>
    <w:rsid w:val="00A029BA"/>
    <w:rsid w:val="00A02BCC"/>
    <w:rsid w:val="00A037E1"/>
    <w:rsid w:val="00A037E6"/>
    <w:rsid w:val="00A03A2B"/>
    <w:rsid w:val="00A04955"/>
    <w:rsid w:val="00A04EC2"/>
    <w:rsid w:val="00A05AFA"/>
    <w:rsid w:val="00A060F8"/>
    <w:rsid w:val="00A06D31"/>
    <w:rsid w:val="00A077F1"/>
    <w:rsid w:val="00A109F4"/>
    <w:rsid w:val="00A10F9D"/>
    <w:rsid w:val="00A11629"/>
    <w:rsid w:val="00A116C8"/>
    <w:rsid w:val="00A116ED"/>
    <w:rsid w:val="00A1224E"/>
    <w:rsid w:val="00A12345"/>
    <w:rsid w:val="00A123A1"/>
    <w:rsid w:val="00A12CF7"/>
    <w:rsid w:val="00A14079"/>
    <w:rsid w:val="00A15574"/>
    <w:rsid w:val="00A16724"/>
    <w:rsid w:val="00A16C16"/>
    <w:rsid w:val="00A175CD"/>
    <w:rsid w:val="00A17AEF"/>
    <w:rsid w:val="00A17EB7"/>
    <w:rsid w:val="00A2004E"/>
    <w:rsid w:val="00A201EE"/>
    <w:rsid w:val="00A20598"/>
    <w:rsid w:val="00A20DC4"/>
    <w:rsid w:val="00A20E65"/>
    <w:rsid w:val="00A229FB"/>
    <w:rsid w:val="00A2405E"/>
    <w:rsid w:val="00A24532"/>
    <w:rsid w:val="00A24825"/>
    <w:rsid w:val="00A24F5D"/>
    <w:rsid w:val="00A257A1"/>
    <w:rsid w:val="00A2582A"/>
    <w:rsid w:val="00A25ABD"/>
    <w:rsid w:val="00A26352"/>
    <w:rsid w:val="00A2635D"/>
    <w:rsid w:val="00A2683E"/>
    <w:rsid w:val="00A26B34"/>
    <w:rsid w:val="00A26E05"/>
    <w:rsid w:val="00A26FA4"/>
    <w:rsid w:val="00A279EB"/>
    <w:rsid w:val="00A30057"/>
    <w:rsid w:val="00A304E6"/>
    <w:rsid w:val="00A30B41"/>
    <w:rsid w:val="00A30D6A"/>
    <w:rsid w:val="00A31289"/>
    <w:rsid w:val="00A312CF"/>
    <w:rsid w:val="00A317EE"/>
    <w:rsid w:val="00A32127"/>
    <w:rsid w:val="00A33130"/>
    <w:rsid w:val="00A3362D"/>
    <w:rsid w:val="00A346DE"/>
    <w:rsid w:val="00A353C9"/>
    <w:rsid w:val="00A3582D"/>
    <w:rsid w:val="00A358C8"/>
    <w:rsid w:val="00A35D19"/>
    <w:rsid w:val="00A3629E"/>
    <w:rsid w:val="00A36557"/>
    <w:rsid w:val="00A36A42"/>
    <w:rsid w:val="00A3710F"/>
    <w:rsid w:val="00A3767A"/>
    <w:rsid w:val="00A3790F"/>
    <w:rsid w:val="00A37F9A"/>
    <w:rsid w:val="00A401D2"/>
    <w:rsid w:val="00A40349"/>
    <w:rsid w:val="00A41457"/>
    <w:rsid w:val="00A4185A"/>
    <w:rsid w:val="00A41A5D"/>
    <w:rsid w:val="00A42B53"/>
    <w:rsid w:val="00A43897"/>
    <w:rsid w:val="00A4454C"/>
    <w:rsid w:val="00A44A28"/>
    <w:rsid w:val="00A459AA"/>
    <w:rsid w:val="00A45BC7"/>
    <w:rsid w:val="00A45FD4"/>
    <w:rsid w:val="00A46112"/>
    <w:rsid w:val="00A46670"/>
    <w:rsid w:val="00A467D1"/>
    <w:rsid w:val="00A46BB3"/>
    <w:rsid w:val="00A46D8B"/>
    <w:rsid w:val="00A4763A"/>
    <w:rsid w:val="00A47FE0"/>
    <w:rsid w:val="00A510ED"/>
    <w:rsid w:val="00A51811"/>
    <w:rsid w:val="00A5221A"/>
    <w:rsid w:val="00A522C1"/>
    <w:rsid w:val="00A5240F"/>
    <w:rsid w:val="00A5275C"/>
    <w:rsid w:val="00A52A7E"/>
    <w:rsid w:val="00A53274"/>
    <w:rsid w:val="00A5353B"/>
    <w:rsid w:val="00A5364D"/>
    <w:rsid w:val="00A54C1F"/>
    <w:rsid w:val="00A54DA7"/>
    <w:rsid w:val="00A54E2C"/>
    <w:rsid w:val="00A560E7"/>
    <w:rsid w:val="00A56723"/>
    <w:rsid w:val="00A57A84"/>
    <w:rsid w:val="00A57BDD"/>
    <w:rsid w:val="00A60312"/>
    <w:rsid w:val="00A603E6"/>
    <w:rsid w:val="00A606C5"/>
    <w:rsid w:val="00A61344"/>
    <w:rsid w:val="00A628EE"/>
    <w:rsid w:val="00A63596"/>
    <w:rsid w:val="00A6469A"/>
    <w:rsid w:val="00A64B7A"/>
    <w:rsid w:val="00A66106"/>
    <w:rsid w:val="00A665D3"/>
    <w:rsid w:val="00A66EBC"/>
    <w:rsid w:val="00A6772C"/>
    <w:rsid w:val="00A67E20"/>
    <w:rsid w:val="00A700F3"/>
    <w:rsid w:val="00A70416"/>
    <w:rsid w:val="00A7043D"/>
    <w:rsid w:val="00A704EE"/>
    <w:rsid w:val="00A706D1"/>
    <w:rsid w:val="00A70D79"/>
    <w:rsid w:val="00A71048"/>
    <w:rsid w:val="00A7121E"/>
    <w:rsid w:val="00A71649"/>
    <w:rsid w:val="00A7181D"/>
    <w:rsid w:val="00A718E6"/>
    <w:rsid w:val="00A728AB"/>
    <w:rsid w:val="00A72B49"/>
    <w:rsid w:val="00A73111"/>
    <w:rsid w:val="00A736A5"/>
    <w:rsid w:val="00A737F0"/>
    <w:rsid w:val="00A74522"/>
    <w:rsid w:val="00A7504A"/>
    <w:rsid w:val="00A75ADA"/>
    <w:rsid w:val="00A75B2A"/>
    <w:rsid w:val="00A75B62"/>
    <w:rsid w:val="00A7743D"/>
    <w:rsid w:val="00A7764B"/>
    <w:rsid w:val="00A7772D"/>
    <w:rsid w:val="00A77E81"/>
    <w:rsid w:val="00A804E6"/>
    <w:rsid w:val="00A80FAF"/>
    <w:rsid w:val="00A812AE"/>
    <w:rsid w:val="00A81373"/>
    <w:rsid w:val="00A81913"/>
    <w:rsid w:val="00A81CA1"/>
    <w:rsid w:val="00A831A3"/>
    <w:rsid w:val="00A838C8"/>
    <w:rsid w:val="00A849B7"/>
    <w:rsid w:val="00A8602C"/>
    <w:rsid w:val="00A869EE"/>
    <w:rsid w:val="00A86C5D"/>
    <w:rsid w:val="00A871C5"/>
    <w:rsid w:val="00A90D13"/>
    <w:rsid w:val="00A91A98"/>
    <w:rsid w:val="00A93179"/>
    <w:rsid w:val="00A939C5"/>
    <w:rsid w:val="00A9475C"/>
    <w:rsid w:val="00A948B2"/>
    <w:rsid w:val="00A94B64"/>
    <w:rsid w:val="00A94C19"/>
    <w:rsid w:val="00A96BD5"/>
    <w:rsid w:val="00A9762F"/>
    <w:rsid w:val="00AA2B60"/>
    <w:rsid w:val="00AA303A"/>
    <w:rsid w:val="00AA3425"/>
    <w:rsid w:val="00AA35D5"/>
    <w:rsid w:val="00AA3A5D"/>
    <w:rsid w:val="00AA3EC2"/>
    <w:rsid w:val="00AA461F"/>
    <w:rsid w:val="00AA4C13"/>
    <w:rsid w:val="00AA52D2"/>
    <w:rsid w:val="00AA55A4"/>
    <w:rsid w:val="00AA5B7F"/>
    <w:rsid w:val="00AA6B26"/>
    <w:rsid w:val="00AA6B7C"/>
    <w:rsid w:val="00AA79E3"/>
    <w:rsid w:val="00AA7CC2"/>
    <w:rsid w:val="00AB00E7"/>
    <w:rsid w:val="00AB071A"/>
    <w:rsid w:val="00AB0762"/>
    <w:rsid w:val="00AB07EA"/>
    <w:rsid w:val="00AB2151"/>
    <w:rsid w:val="00AB231C"/>
    <w:rsid w:val="00AB26C6"/>
    <w:rsid w:val="00AB2828"/>
    <w:rsid w:val="00AB2983"/>
    <w:rsid w:val="00AB2D0E"/>
    <w:rsid w:val="00AB2D3D"/>
    <w:rsid w:val="00AB3A56"/>
    <w:rsid w:val="00AB3B48"/>
    <w:rsid w:val="00AB4BCD"/>
    <w:rsid w:val="00AB54EF"/>
    <w:rsid w:val="00AB57B0"/>
    <w:rsid w:val="00AB57C8"/>
    <w:rsid w:val="00AB61EB"/>
    <w:rsid w:val="00AB68B2"/>
    <w:rsid w:val="00AB6E2B"/>
    <w:rsid w:val="00AB773C"/>
    <w:rsid w:val="00AC1CE6"/>
    <w:rsid w:val="00AC2054"/>
    <w:rsid w:val="00AC23C9"/>
    <w:rsid w:val="00AC24E6"/>
    <w:rsid w:val="00AC2E68"/>
    <w:rsid w:val="00AC53E6"/>
    <w:rsid w:val="00AC5A4D"/>
    <w:rsid w:val="00AC5C1D"/>
    <w:rsid w:val="00AC657F"/>
    <w:rsid w:val="00AC6591"/>
    <w:rsid w:val="00AC65FE"/>
    <w:rsid w:val="00AC6843"/>
    <w:rsid w:val="00AC703C"/>
    <w:rsid w:val="00AC77F1"/>
    <w:rsid w:val="00AC781E"/>
    <w:rsid w:val="00AC7BAF"/>
    <w:rsid w:val="00AC7CA5"/>
    <w:rsid w:val="00AD074C"/>
    <w:rsid w:val="00AD0B93"/>
    <w:rsid w:val="00AD0E77"/>
    <w:rsid w:val="00AD12A6"/>
    <w:rsid w:val="00AD168E"/>
    <w:rsid w:val="00AD1824"/>
    <w:rsid w:val="00AD1B10"/>
    <w:rsid w:val="00AD1DC3"/>
    <w:rsid w:val="00AD1E57"/>
    <w:rsid w:val="00AD2AD8"/>
    <w:rsid w:val="00AD2B1A"/>
    <w:rsid w:val="00AD30D0"/>
    <w:rsid w:val="00AD4503"/>
    <w:rsid w:val="00AD5415"/>
    <w:rsid w:val="00AD56F9"/>
    <w:rsid w:val="00AD592A"/>
    <w:rsid w:val="00AD5C4A"/>
    <w:rsid w:val="00AD5DA1"/>
    <w:rsid w:val="00AD61C6"/>
    <w:rsid w:val="00AD6AC5"/>
    <w:rsid w:val="00AD6D2B"/>
    <w:rsid w:val="00AD74ED"/>
    <w:rsid w:val="00AE0112"/>
    <w:rsid w:val="00AE168C"/>
    <w:rsid w:val="00AE171A"/>
    <w:rsid w:val="00AE174A"/>
    <w:rsid w:val="00AE1786"/>
    <w:rsid w:val="00AE1DE4"/>
    <w:rsid w:val="00AE1E06"/>
    <w:rsid w:val="00AE1E19"/>
    <w:rsid w:val="00AE20FC"/>
    <w:rsid w:val="00AE335C"/>
    <w:rsid w:val="00AE38F7"/>
    <w:rsid w:val="00AE430E"/>
    <w:rsid w:val="00AE547E"/>
    <w:rsid w:val="00AE563E"/>
    <w:rsid w:val="00AE5A28"/>
    <w:rsid w:val="00AE5BA2"/>
    <w:rsid w:val="00AE6ADA"/>
    <w:rsid w:val="00AE7721"/>
    <w:rsid w:val="00AE78D1"/>
    <w:rsid w:val="00AE7E51"/>
    <w:rsid w:val="00AF021E"/>
    <w:rsid w:val="00AF0809"/>
    <w:rsid w:val="00AF09A4"/>
    <w:rsid w:val="00AF1946"/>
    <w:rsid w:val="00AF25CE"/>
    <w:rsid w:val="00AF2812"/>
    <w:rsid w:val="00AF2A38"/>
    <w:rsid w:val="00AF4AA2"/>
    <w:rsid w:val="00AF506B"/>
    <w:rsid w:val="00AF6606"/>
    <w:rsid w:val="00AF6952"/>
    <w:rsid w:val="00AF7C2C"/>
    <w:rsid w:val="00B0044D"/>
    <w:rsid w:val="00B00552"/>
    <w:rsid w:val="00B006A8"/>
    <w:rsid w:val="00B00876"/>
    <w:rsid w:val="00B00D48"/>
    <w:rsid w:val="00B01232"/>
    <w:rsid w:val="00B013F2"/>
    <w:rsid w:val="00B0159A"/>
    <w:rsid w:val="00B01788"/>
    <w:rsid w:val="00B02EF8"/>
    <w:rsid w:val="00B03185"/>
    <w:rsid w:val="00B03E9A"/>
    <w:rsid w:val="00B0493A"/>
    <w:rsid w:val="00B05130"/>
    <w:rsid w:val="00B05337"/>
    <w:rsid w:val="00B06767"/>
    <w:rsid w:val="00B0687B"/>
    <w:rsid w:val="00B06C94"/>
    <w:rsid w:val="00B06D1D"/>
    <w:rsid w:val="00B06F84"/>
    <w:rsid w:val="00B07A52"/>
    <w:rsid w:val="00B07CA8"/>
    <w:rsid w:val="00B111CF"/>
    <w:rsid w:val="00B11895"/>
    <w:rsid w:val="00B11FE4"/>
    <w:rsid w:val="00B129C4"/>
    <w:rsid w:val="00B12D93"/>
    <w:rsid w:val="00B12F36"/>
    <w:rsid w:val="00B13294"/>
    <w:rsid w:val="00B13709"/>
    <w:rsid w:val="00B142A9"/>
    <w:rsid w:val="00B1443E"/>
    <w:rsid w:val="00B14600"/>
    <w:rsid w:val="00B14728"/>
    <w:rsid w:val="00B14A51"/>
    <w:rsid w:val="00B14C76"/>
    <w:rsid w:val="00B14D12"/>
    <w:rsid w:val="00B15666"/>
    <w:rsid w:val="00B15D0D"/>
    <w:rsid w:val="00B16514"/>
    <w:rsid w:val="00B16AD4"/>
    <w:rsid w:val="00B1728A"/>
    <w:rsid w:val="00B17641"/>
    <w:rsid w:val="00B20344"/>
    <w:rsid w:val="00B20399"/>
    <w:rsid w:val="00B20554"/>
    <w:rsid w:val="00B20A43"/>
    <w:rsid w:val="00B219C4"/>
    <w:rsid w:val="00B21F31"/>
    <w:rsid w:val="00B224F4"/>
    <w:rsid w:val="00B22516"/>
    <w:rsid w:val="00B22653"/>
    <w:rsid w:val="00B22E29"/>
    <w:rsid w:val="00B233ED"/>
    <w:rsid w:val="00B235B8"/>
    <w:rsid w:val="00B23680"/>
    <w:rsid w:val="00B23736"/>
    <w:rsid w:val="00B23E23"/>
    <w:rsid w:val="00B23EC2"/>
    <w:rsid w:val="00B2401A"/>
    <w:rsid w:val="00B2448E"/>
    <w:rsid w:val="00B246F3"/>
    <w:rsid w:val="00B25250"/>
    <w:rsid w:val="00B25B89"/>
    <w:rsid w:val="00B25E5C"/>
    <w:rsid w:val="00B26084"/>
    <w:rsid w:val="00B279F8"/>
    <w:rsid w:val="00B27EDC"/>
    <w:rsid w:val="00B30155"/>
    <w:rsid w:val="00B30F9B"/>
    <w:rsid w:val="00B31006"/>
    <w:rsid w:val="00B31317"/>
    <w:rsid w:val="00B31913"/>
    <w:rsid w:val="00B31B58"/>
    <w:rsid w:val="00B325B7"/>
    <w:rsid w:val="00B32F93"/>
    <w:rsid w:val="00B33355"/>
    <w:rsid w:val="00B3360E"/>
    <w:rsid w:val="00B338E4"/>
    <w:rsid w:val="00B33CD9"/>
    <w:rsid w:val="00B33DE6"/>
    <w:rsid w:val="00B33EC3"/>
    <w:rsid w:val="00B33FE6"/>
    <w:rsid w:val="00B3475A"/>
    <w:rsid w:val="00B34921"/>
    <w:rsid w:val="00B35394"/>
    <w:rsid w:val="00B35D9E"/>
    <w:rsid w:val="00B36FC1"/>
    <w:rsid w:val="00B404EB"/>
    <w:rsid w:val="00B40C0F"/>
    <w:rsid w:val="00B40C79"/>
    <w:rsid w:val="00B41AF2"/>
    <w:rsid w:val="00B41DD2"/>
    <w:rsid w:val="00B429B5"/>
    <w:rsid w:val="00B435E2"/>
    <w:rsid w:val="00B440B0"/>
    <w:rsid w:val="00B44E66"/>
    <w:rsid w:val="00B4503C"/>
    <w:rsid w:val="00B45902"/>
    <w:rsid w:val="00B474DD"/>
    <w:rsid w:val="00B51DDD"/>
    <w:rsid w:val="00B520A1"/>
    <w:rsid w:val="00B52812"/>
    <w:rsid w:val="00B52899"/>
    <w:rsid w:val="00B52928"/>
    <w:rsid w:val="00B52CB2"/>
    <w:rsid w:val="00B53D12"/>
    <w:rsid w:val="00B53D1B"/>
    <w:rsid w:val="00B54991"/>
    <w:rsid w:val="00B5548F"/>
    <w:rsid w:val="00B55F07"/>
    <w:rsid w:val="00B574A9"/>
    <w:rsid w:val="00B57AD4"/>
    <w:rsid w:val="00B57F85"/>
    <w:rsid w:val="00B6071E"/>
    <w:rsid w:val="00B60B4B"/>
    <w:rsid w:val="00B60CB9"/>
    <w:rsid w:val="00B617AC"/>
    <w:rsid w:val="00B6232E"/>
    <w:rsid w:val="00B62A29"/>
    <w:rsid w:val="00B62E95"/>
    <w:rsid w:val="00B63162"/>
    <w:rsid w:val="00B64300"/>
    <w:rsid w:val="00B64458"/>
    <w:rsid w:val="00B646D0"/>
    <w:rsid w:val="00B64A81"/>
    <w:rsid w:val="00B6521A"/>
    <w:rsid w:val="00B6544E"/>
    <w:rsid w:val="00B6583C"/>
    <w:rsid w:val="00B66201"/>
    <w:rsid w:val="00B6696F"/>
    <w:rsid w:val="00B66EEB"/>
    <w:rsid w:val="00B6705F"/>
    <w:rsid w:val="00B67181"/>
    <w:rsid w:val="00B6718C"/>
    <w:rsid w:val="00B67287"/>
    <w:rsid w:val="00B675AC"/>
    <w:rsid w:val="00B67C91"/>
    <w:rsid w:val="00B70504"/>
    <w:rsid w:val="00B71002"/>
    <w:rsid w:val="00B71067"/>
    <w:rsid w:val="00B72226"/>
    <w:rsid w:val="00B723F1"/>
    <w:rsid w:val="00B72552"/>
    <w:rsid w:val="00B72997"/>
    <w:rsid w:val="00B7378F"/>
    <w:rsid w:val="00B7420B"/>
    <w:rsid w:val="00B749EB"/>
    <w:rsid w:val="00B74A4F"/>
    <w:rsid w:val="00B75674"/>
    <w:rsid w:val="00B75885"/>
    <w:rsid w:val="00B75ADB"/>
    <w:rsid w:val="00B75DEF"/>
    <w:rsid w:val="00B75FF4"/>
    <w:rsid w:val="00B7604D"/>
    <w:rsid w:val="00B76D6D"/>
    <w:rsid w:val="00B774FA"/>
    <w:rsid w:val="00B77589"/>
    <w:rsid w:val="00B77A0A"/>
    <w:rsid w:val="00B77E83"/>
    <w:rsid w:val="00B80625"/>
    <w:rsid w:val="00B8111B"/>
    <w:rsid w:val="00B81167"/>
    <w:rsid w:val="00B81398"/>
    <w:rsid w:val="00B81807"/>
    <w:rsid w:val="00B81BCB"/>
    <w:rsid w:val="00B81F49"/>
    <w:rsid w:val="00B82233"/>
    <w:rsid w:val="00B82621"/>
    <w:rsid w:val="00B827CC"/>
    <w:rsid w:val="00B83787"/>
    <w:rsid w:val="00B83E29"/>
    <w:rsid w:val="00B84755"/>
    <w:rsid w:val="00B84F67"/>
    <w:rsid w:val="00B8683B"/>
    <w:rsid w:val="00B87213"/>
    <w:rsid w:val="00B87F5F"/>
    <w:rsid w:val="00B903A6"/>
    <w:rsid w:val="00B91250"/>
    <w:rsid w:val="00B9181E"/>
    <w:rsid w:val="00B91ECC"/>
    <w:rsid w:val="00B921B0"/>
    <w:rsid w:val="00B92CDC"/>
    <w:rsid w:val="00B959FA"/>
    <w:rsid w:val="00B97536"/>
    <w:rsid w:val="00B9780C"/>
    <w:rsid w:val="00B97CB7"/>
    <w:rsid w:val="00B97E77"/>
    <w:rsid w:val="00BA06C2"/>
    <w:rsid w:val="00BA0A64"/>
    <w:rsid w:val="00BA18CC"/>
    <w:rsid w:val="00BA2A84"/>
    <w:rsid w:val="00BA2CF0"/>
    <w:rsid w:val="00BA4E54"/>
    <w:rsid w:val="00BA58F6"/>
    <w:rsid w:val="00BA5D81"/>
    <w:rsid w:val="00BA6160"/>
    <w:rsid w:val="00BA6439"/>
    <w:rsid w:val="00BA6E79"/>
    <w:rsid w:val="00BA6F20"/>
    <w:rsid w:val="00BA7C41"/>
    <w:rsid w:val="00BB059A"/>
    <w:rsid w:val="00BB09F4"/>
    <w:rsid w:val="00BB1424"/>
    <w:rsid w:val="00BB198C"/>
    <w:rsid w:val="00BB1D80"/>
    <w:rsid w:val="00BB1F48"/>
    <w:rsid w:val="00BB259E"/>
    <w:rsid w:val="00BB29AE"/>
    <w:rsid w:val="00BB2C42"/>
    <w:rsid w:val="00BB3D19"/>
    <w:rsid w:val="00BB448F"/>
    <w:rsid w:val="00BB462F"/>
    <w:rsid w:val="00BB52F4"/>
    <w:rsid w:val="00BB53DB"/>
    <w:rsid w:val="00BB6128"/>
    <w:rsid w:val="00BB64BD"/>
    <w:rsid w:val="00BB665A"/>
    <w:rsid w:val="00BB6BC9"/>
    <w:rsid w:val="00BB6EF9"/>
    <w:rsid w:val="00BB700E"/>
    <w:rsid w:val="00BB7148"/>
    <w:rsid w:val="00BB78B3"/>
    <w:rsid w:val="00BB7A6B"/>
    <w:rsid w:val="00BC04B7"/>
    <w:rsid w:val="00BC0BBF"/>
    <w:rsid w:val="00BC223C"/>
    <w:rsid w:val="00BC2452"/>
    <w:rsid w:val="00BC3B15"/>
    <w:rsid w:val="00BC4187"/>
    <w:rsid w:val="00BC4C4A"/>
    <w:rsid w:val="00BC5E6C"/>
    <w:rsid w:val="00BC66C0"/>
    <w:rsid w:val="00BC6828"/>
    <w:rsid w:val="00BC6B50"/>
    <w:rsid w:val="00BC6E64"/>
    <w:rsid w:val="00BD0DA2"/>
    <w:rsid w:val="00BD17C7"/>
    <w:rsid w:val="00BD1836"/>
    <w:rsid w:val="00BD1930"/>
    <w:rsid w:val="00BD1AAD"/>
    <w:rsid w:val="00BD1AF4"/>
    <w:rsid w:val="00BD1D15"/>
    <w:rsid w:val="00BD2A34"/>
    <w:rsid w:val="00BD31BD"/>
    <w:rsid w:val="00BD3B73"/>
    <w:rsid w:val="00BD3D29"/>
    <w:rsid w:val="00BD46D4"/>
    <w:rsid w:val="00BD5118"/>
    <w:rsid w:val="00BD5217"/>
    <w:rsid w:val="00BD525A"/>
    <w:rsid w:val="00BD541E"/>
    <w:rsid w:val="00BD573C"/>
    <w:rsid w:val="00BD6077"/>
    <w:rsid w:val="00BD6762"/>
    <w:rsid w:val="00BD6A6B"/>
    <w:rsid w:val="00BD6AFA"/>
    <w:rsid w:val="00BD74D2"/>
    <w:rsid w:val="00BD7C1B"/>
    <w:rsid w:val="00BD7CD1"/>
    <w:rsid w:val="00BE02C2"/>
    <w:rsid w:val="00BE0E6D"/>
    <w:rsid w:val="00BE1459"/>
    <w:rsid w:val="00BE1C84"/>
    <w:rsid w:val="00BE1E5C"/>
    <w:rsid w:val="00BE318D"/>
    <w:rsid w:val="00BE39FE"/>
    <w:rsid w:val="00BE3C2E"/>
    <w:rsid w:val="00BE3CE4"/>
    <w:rsid w:val="00BE4159"/>
    <w:rsid w:val="00BE5DBB"/>
    <w:rsid w:val="00BE63BE"/>
    <w:rsid w:val="00BE6655"/>
    <w:rsid w:val="00BE6EB4"/>
    <w:rsid w:val="00BE7001"/>
    <w:rsid w:val="00BE747F"/>
    <w:rsid w:val="00BE7511"/>
    <w:rsid w:val="00BE7659"/>
    <w:rsid w:val="00BF03DD"/>
    <w:rsid w:val="00BF0542"/>
    <w:rsid w:val="00BF077D"/>
    <w:rsid w:val="00BF0BEE"/>
    <w:rsid w:val="00BF14E4"/>
    <w:rsid w:val="00BF1C2D"/>
    <w:rsid w:val="00BF1C7C"/>
    <w:rsid w:val="00BF1D14"/>
    <w:rsid w:val="00BF2611"/>
    <w:rsid w:val="00BF26D2"/>
    <w:rsid w:val="00BF2713"/>
    <w:rsid w:val="00BF39BD"/>
    <w:rsid w:val="00BF4C81"/>
    <w:rsid w:val="00BF531E"/>
    <w:rsid w:val="00BF5B60"/>
    <w:rsid w:val="00BF6663"/>
    <w:rsid w:val="00BF67F7"/>
    <w:rsid w:val="00BF7BDB"/>
    <w:rsid w:val="00BF7C6B"/>
    <w:rsid w:val="00C01D59"/>
    <w:rsid w:val="00C02E20"/>
    <w:rsid w:val="00C03057"/>
    <w:rsid w:val="00C03795"/>
    <w:rsid w:val="00C0380D"/>
    <w:rsid w:val="00C039E8"/>
    <w:rsid w:val="00C03EBE"/>
    <w:rsid w:val="00C04826"/>
    <w:rsid w:val="00C05BCF"/>
    <w:rsid w:val="00C06896"/>
    <w:rsid w:val="00C068F1"/>
    <w:rsid w:val="00C06B77"/>
    <w:rsid w:val="00C0756F"/>
    <w:rsid w:val="00C07ED9"/>
    <w:rsid w:val="00C105BC"/>
    <w:rsid w:val="00C11A90"/>
    <w:rsid w:val="00C11EDB"/>
    <w:rsid w:val="00C120C5"/>
    <w:rsid w:val="00C121A2"/>
    <w:rsid w:val="00C123B0"/>
    <w:rsid w:val="00C12BCD"/>
    <w:rsid w:val="00C130EE"/>
    <w:rsid w:val="00C13E5A"/>
    <w:rsid w:val="00C14104"/>
    <w:rsid w:val="00C1447F"/>
    <w:rsid w:val="00C1453F"/>
    <w:rsid w:val="00C1544C"/>
    <w:rsid w:val="00C15C5D"/>
    <w:rsid w:val="00C15CCC"/>
    <w:rsid w:val="00C16380"/>
    <w:rsid w:val="00C16586"/>
    <w:rsid w:val="00C16B5B"/>
    <w:rsid w:val="00C17386"/>
    <w:rsid w:val="00C17D73"/>
    <w:rsid w:val="00C203E5"/>
    <w:rsid w:val="00C20C83"/>
    <w:rsid w:val="00C21AE4"/>
    <w:rsid w:val="00C227CD"/>
    <w:rsid w:val="00C238F8"/>
    <w:rsid w:val="00C23B1B"/>
    <w:rsid w:val="00C247C3"/>
    <w:rsid w:val="00C24A86"/>
    <w:rsid w:val="00C2500F"/>
    <w:rsid w:val="00C25B40"/>
    <w:rsid w:val="00C25B68"/>
    <w:rsid w:val="00C25CC6"/>
    <w:rsid w:val="00C25DC7"/>
    <w:rsid w:val="00C260F8"/>
    <w:rsid w:val="00C264DF"/>
    <w:rsid w:val="00C26977"/>
    <w:rsid w:val="00C27CC1"/>
    <w:rsid w:val="00C27CEB"/>
    <w:rsid w:val="00C30759"/>
    <w:rsid w:val="00C30CC9"/>
    <w:rsid w:val="00C314AD"/>
    <w:rsid w:val="00C3155A"/>
    <w:rsid w:val="00C31AA0"/>
    <w:rsid w:val="00C330AE"/>
    <w:rsid w:val="00C33268"/>
    <w:rsid w:val="00C33786"/>
    <w:rsid w:val="00C33836"/>
    <w:rsid w:val="00C342C0"/>
    <w:rsid w:val="00C348D5"/>
    <w:rsid w:val="00C34A55"/>
    <w:rsid w:val="00C34F6D"/>
    <w:rsid w:val="00C34FBA"/>
    <w:rsid w:val="00C3588B"/>
    <w:rsid w:val="00C359D3"/>
    <w:rsid w:val="00C3632C"/>
    <w:rsid w:val="00C37049"/>
    <w:rsid w:val="00C37C35"/>
    <w:rsid w:val="00C406F6"/>
    <w:rsid w:val="00C41E5F"/>
    <w:rsid w:val="00C41F17"/>
    <w:rsid w:val="00C421CE"/>
    <w:rsid w:val="00C42E12"/>
    <w:rsid w:val="00C43054"/>
    <w:rsid w:val="00C44DAA"/>
    <w:rsid w:val="00C45BC3"/>
    <w:rsid w:val="00C45D57"/>
    <w:rsid w:val="00C462DF"/>
    <w:rsid w:val="00C4642A"/>
    <w:rsid w:val="00C46E01"/>
    <w:rsid w:val="00C46E7A"/>
    <w:rsid w:val="00C46FC2"/>
    <w:rsid w:val="00C4753D"/>
    <w:rsid w:val="00C4773F"/>
    <w:rsid w:val="00C47A69"/>
    <w:rsid w:val="00C47B62"/>
    <w:rsid w:val="00C5149C"/>
    <w:rsid w:val="00C516C5"/>
    <w:rsid w:val="00C517A0"/>
    <w:rsid w:val="00C51950"/>
    <w:rsid w:val="00C51A10"/>
    <w:rsid w:val="00C51FB3"/>
    <w:rsid w:val="00C5352D"/>
    <w:rsid w:val="00C53D28"/>
    <w:rsid w:val="00C54018"/>
    <w:rsid w:val="00C552DB"/>
    <w:rsid w:val="00C55389"/>
    <w:rsid w:val="00C5612E"/>
    <w:rsid w:val="00C56902"/>
    <w:rsid w:val="00C56F30"/>
    <w:rsid w:val="00C571D9"/>
    <w:rsid w:val="00C57AF6"/>
    <w:rsid w:val="00C60995"/>
    <w:rsid w:val="00C60C57"/>
    <w:rsid w:val="00C60F82"/>
    <w:rsid w:val="00C6120B"/>
    <w:rsid w:val="00C61460"/>
    <w:rsid w:val="00C622FC"/>
    <w:rsid w:val="00C641FF"/>
    <w:rsid w:val="00C6441A"/>
    <w:rsid w:val="00C64D9F"/>
    <w:rsid w:val="00C64FC6"/>
    <w:rsid w:val="00C66D1C"/>
    <w:rsid w:val="00C670CD"/>
    <w:rsid w:val="00C67858"/>
    <w:rsid w:val="00C67B5B"/>
    <w:rsid w:val="00C67D9E"/>
    <w:rsid w:val="00C71331"/>
    <w:rsid w:val="00C7168E"/>
    <w:rsid w:val="00C7209B"/>
    <w:rsid w:val="00C723E5"/>
    <w:rsid w:val="00C7322A"/>
    <w:rsid w:val="00C73F47"/>
    <w:rsid w:val="00C7493A"/>
    <w:rsid w:val="00C74970"/>
    <w:rsid w:val="00C75916"/>
    <w:rsid w:val="00C75F4E"/>
    <w:rsid w:val="00C765F4"/>
    <w:rsid w:val="00C770D0"/>
    <w:rsid w:val="00C771A6"/>
    <w:rsid w:val="00C7737B"/>
    <w:rsid w:val="00C77B95"/>
    <w:rsid w:val="00C80295"/>
    <w:rsid w:val="00C80A87"/>
    <w:rsid w:val="00C80F69"/>
    <w:rsid w:val="00C81625"/>
    <w:rsid w:val="00C828D6"/>
    <w:rsid w:val="00C82990"/>
    <w:rsid w:val="00C82A96"/>
    <w:rsid w:val="00C84E48"/>
    <w:rsid w:val="00C850F1"/>
    <w:rsid w:val="00C858E2"/>
    <w:rsid w:val="00C8676B"/>
    <w:rsid w:val="00C86B71"/>
    <w:rsid w:val="00C86EAD"/>
    <w:rsid w:val="00C87414"/>
    <w:rsid w:val="00C874AE"/>
    <w:rsid w:val="00C87642"/>
    <w:rsid w:val="00C878E1"/>
    <w:rsid w:val="00C87C29"/>
    <w:rsid w:val="00C90AD2"/>
    <w:rsid w:val="00C92A1D"/>
    <w:rsid w:val="00C94250"/>
    <w:rsid w:val="00C943B7"/>
    <w:rsid w:val="00C94769"/>
    <w:rsid w:val="00C9482A"/>
    <w:rsid w:val="00C94AC7"/>
    <w:rsid w:val="00C94B78"/>
    <w:rsid w:val="00C94BF9"/>
    <w:rsid w:val="00C952AA"/>
    <w:rsid w:val="00C9536E"/>
    <w:rsid w:val="00C95902"/>
    <w:rsid w:val="00C959F0"/>
    <w:rsid w:val="00C95CA9"/>
    <w:rsid w:val="00C95D86"/>
    <w:rsid w:val="00C96383"/>
    <w:rsid w:val="00C968F6"/>
    <w:rsid w:val="00C96A46"/>
    <w:rsid w:val="00C977C3"/>
    <w:rsid w:val="00C97918"/>
    <w:rsid w:val="00C97CB5"/>
    <w:rsid w:val="00C97F02"/>
    <w:rsid w:val="00CA01D9"/>
    <w:rsid w:val="00CA0582"/>
    <w:rsid w:val="00CA06EA"/>
    <w:rsid w:val="00CA0903"/>
    <w:rsid w:val="00CA12FB"/>
    <w:rsid w:val="00CA1449"/>
    <w:rsid w:val="00CA1A6A"/>
    <w:rsid w:val="00CA1E9F"/>
    <w:rsid w:val="00CA2085"/>
    <w:rsid w:val="00CA279A"/>
    <w:rsid w:val="00CA2855"/>
    <w:rsid w:val="00CA2BA6"/>
    <w:rsid w:val="00CA3252"/>
    <w:rsid w:val="00CA327B"/>
    <w:rsid w:val="00CA36D3"/>
    <w:rsid w:val="00CA3E40"/>
    <w:rsid w:val="00CA4910"/>
    <w:rsid w:val="00CA4DF7"/>
    <w:rsid w:val="00CA4F3E"/>
    <w:rsid w:val="00CA4FD9"/>
    <w:rsid w:val="00CA51EA"/>
    <w:rsid w:val="00CA5A17"/>
    <w:rsid w:val="00CA5C66"/>
    <w:rsid w:val="00CA5C70"/>
    <w:rsid w:val="00CA5D2B"/>
    <w:rsid w:val="00CA61DA"/>
    <w:rsid w:val="00CA67E2"/>
    <w:rsid w:val="00CA78CF"/>
    <w:rsid w:val="00CB0311"/>
    <w:rsid w:val="00CB0969"/>
    <w:rsid w:val="00CB0C05"/>
    <w:rsid w:val="00CB13C2"/>
    <w:rsid w:val="00CB1A80"/>
    <w:rsid w:val="00CB1EF4"/>
    <w:rsid w:val="00CB243C"/>
    <w:rsid w:val="00CB2E53"/>
    <w:rsid w:val="00CB30E5"/>
    <w:rsid w:val="00CB32F1"/>
    <w:rsid w:val="00CB3426"/>
    <w:rsid w:val="00CB361B"/>
    <w:rsid w:val="00CB4D92"/>
    <w:rsid w:val="00CB5281"/>
    <w:rsid w:val="00CB54C2"/>
    <w:rsid w:val="00CB64D2"/>
    <w:rsid w:val="00CB6BF8"/>
    <w:rsid w:val="00CB7383"/>
    <w:rsid w:val="00CB7B34"/>
    <w:rsid w:val="00CC016C"/>
    <w:rsid w:val="00CC020C"/>
    <w:rsid w:val="00CC02C2"/>
    <w:rsid w:val="00CC038F"/>
    <w:rsid w:val="00CC04C4"/>
    <w:rsid w:val="00CC064B"/>
    <w:rsid w:val="00CC0EFF"/>
    <w:rsid w:val="00CC1F67"/>
    <w:rsid w:val="00CC21FB"/>
    <w:rsid w:val="00CC2514"/>
    <w:rsid w:val="00CC25AC"/>
    <w:rsid w:val="00CC304F"/>
    <w:rsid w:val="00CC3653"/>
    <w:rsid w:val="00CC3C33"/>
    <w:rsid w:val="00CC3D99"/>
    <w:rsid w:val="00CC3E60"/>
    <w:rsid w:val="00CC491F"/>
    <w:rsid w:val="00CC4AD3"/>
    <w:rsid w:val="00CC6A11"/>
    <w:rsid w:val="00CC6E26"/>
    <w:rsid w:val="00CC6FAD"/>
    <w:rsid w:val="00CC7894"/>
    <w:rsid w:val="00CD0129"/>
    <w:rsid w:val="00CD06C3"/>
    <w:rsid w:val="00CD2102"/>
    <w:rsid w:val="00CD3144"/>
    <w:rsid w:val="00CD38C4"/>
    <w:rsid w:val="00CD39D0"/>
    <w:rsid w:val="00CD3C9B"/>
    <w:rsid w:val="00CD432B"/>
    <w:rsid w:val="00CD4393"/>
    <w:rsid w:val="00CD43C3"/>
    <w:rsid w:val="00CD4630"/>
    <w:rsid w:val="00CD5C85"/>
    <w:rsid w:val="00CD6113"/>
    <w:rsid w:val="00CD61E5"/>
    <w:rsid w:val="00CD6384"/>
    <w:rsid w:val="00CD6D78"/>
    <w:rsid w:val="00CD6ED6"/>
    <w:rsid w:val="00CD7085"/>
    <w:rsid w:val="00CD75EB"/>
    <w:rsid w:val="00CD78E0"/>
    <w:rsid w:val="00CD7BE1"/>
    <w:rsid w:val="00CD7CE3"/>
    <w:rsid w:val="00CD7E34"/>
    <w:rsid w:val="00CE0241"/>
    <w:rsid w:val="00CE0446"/>
    <w:rsid w:val="00CE0A0B"/>
    <w:rsid w:val="00CE0A89"/>
    <w:rsid w:val="00CE0FF8"/>
    <w:rsid w:val="00CE1144"/>
    <w:rsid w:val="00CE124B"/>
    <w:rsid w:val="00CE1372"/>
    <w:rsid w:val="00CE16FE"/>
    <w:rsid w:val="00CE1881"/>
    <w:rsid w:val="00CE1990"/>
    <w:rsid w:val="00CE1F9F"/>
    <w:rsid w:val="00CE2888"/>
    <w:rsid w:val="00CE2C68"/>
    <w:rsid w:val="00CE2E71"/>
    <w:rsid w:val="00CE32DA"/>
    <w:rsid w:val="00CE3BDA"/>
    <w:rsid w:val="00CE4077"/>
    <w:rsid w:val="00CE4D76"/>
    <w:rsid w:val="00CE5064"/>
    <w:rsid w:val="00CE56B7"/>
    <w:rsid w:val="00CE5F8D"/>
    <w:rsid w:val="00CE5FE9"/>
    <w:rsid w:val="00CE76DD"/>
    <w:rsid w:val="00CE7742"/>
    <w:rsid w:val="00CF0526"/>
    <w:rsid w:val="00CF0D04"/>
    <w:rsid w:val="00CF2195"/>
    <w:rsid w:val="00CF21E9"/>
    <w:rsid w:val="00CF2AD3"/>
    <w:rsid w:val="00CF2C33"/>
    <w:rsid w:val="00CF2DD8"/>
    <w:rsid w:val="00CF319E"/>
    <w:rsid w:val="00CF3446"/>
    <w:rsid w:val="00CF3691"/>
    <w:rsid w:val="00CF3EFB"/>
    <w:rsid w:val="00CF429C"/>
    <w:rsid w:val="00CF5A32"/>
    <w:rsid w:val="00CF6763"/>
    <w:rsid w:val="00CF6F7E"/>
    <w:rsid w:val="00CF718E"/>
    <w:rsid w:val="00CF79E0"/>
    <w:rsid w:val="00CF7CCC"/>
    <w:rsid w:val="00CF7EE1"/>
    <w:rsid w:val="00D00050"/>
    <w:rsid w:val="00D007A6"/>
    <w:rsid w:val="00D00D28"/>
    <w:rsid w:val="00D01788"/>
    <w:rsid w:val="00D01A1D"/>
    <w:rsid w:val="00D01FCC"/>
    <w:rsid w:val="00D022A8"/>
    <w:rsid w:val="00D02674"/>
    <w:rsid w:val="00D027F7"/>
    <w:rsid w:val="00D02839"/>
    <w:rsid w:val="00D02B72"/>
    <w:rsid w:val="00D037ED"/>
    <w:rsid w:val="00D038EC"/>
    <w:rsid w:val="00D04404"/>
    <w:rsid w:val="00D054CF"/>
    <w:rsid w:val="00D05B3D"/>
    <w:rsid w:val="00D05F60"/>
    <w:rsid w:val="00D06701"/>
    <w:rsid w:val="00D068F8"/>
    <w:rsid w:val="00D10388"/>
    <w:rsid w:val="00D110E6"/>
    <w:rsid w:val="00D1146F"/>
    <w:rsid w:val="00D11DD0"/>
    <w:rsid w:val="00D11FA8"/>
    <w:rsid w:val="00D12445"/>
    <w:rsid w:val="00D12829"/>
    <w:rsid w:val="00D12C9B"/>
    <w:rsid w:val="00D1425C"/>
    <w:rsid w:val="00D14BC0"/>
    <w:rsid w:val="00D150F8"/>
    <w:rsid w:val="00D15347"/>
    <w:rsid w:val="00D15C1D"/>
    <w:rsid w:val="00D169BA"/>
    <w:rsid w:val="00D16AC7"/>
    <w:rsid w:val="00D16AC9"/>
    <w:rsid w:val="00D1728C"/>
    <w:rsid w:val="00D177BA"/>
    <w:rsid w:val="00D17C68"/>
    <w:rsid w:val="00D20593"/>
    <w:rsid w:val="00D21D62"/>
    <w:rsid w:val="00D227E8"/>
    <w:rsid w:val="00D227F7"/>
    <w:rsid w:val="00D228D1"/>
    <w:rsid w:val="00D2297D"/>
    <w:rsid w:val="00D2297E"/>
    <w:rsid w:val="00D2331B"/>
    <w:rsid w:val="00D23792"/>
    <w:rsid w:val="00D24DE1"/>
    <w:rsid w:val="00D2524B"/>
    <w:rsid w:val="00D257A0"/>
    <w:rsid w:val="00D263E5"/>
    <w:rsid w:val="00D267E0"/>
    <w:rsid w:val="00D31C5F"/>
    <w:rsid w:val="00D32935"/>
    <w:rsid w:val="00D332F5"/>
    <w:rsid w:val="00D336C3"/>
    <w:rsid w:val="00D33B58"/>
    <w:rsid w:val="00D34E24"/>
    <w:rsid w:val="00D34E5B"/>
    <w:rsid w:val="00D35013"/>
    <w:rsid w:val="00D353E6"/>
    <w:rsid w:val="00D354F4"/>
    <w:rsid w:val="00D356B7"/>
    <w:rsid w:val="00D3596B"/>
    <w:rsid w:val="00D35FC5"/>
    <w:rsid w:val="00D36B89"/>
    <w:rsid w:val="00D36BF8"/>
    <w:rsid w:val="00D377C2"/>
    <w:rsid w:val="00D408F6"/>
    <w:rsid w:val="00D40B4C"/>
    <w:rsid w:val="00D41297"/>
    <w:rsid w:val="00D414FC"/>
    <w:rsid w:val="00D430E1"/>
    <w:rsid w:val="00D4334D"/>
    <w:rsid w:val="00D43428"/>
    <w:rsid w:val="00D4371C"/>
    <w:rsid w:val="00D44505"/>
    <w:rsid w:val="00D44643"/>
    <w:rsid w:val="00D44FAD"/>
    <w:rsid w:val="00D450DF"/>
    <w:rsid w:val="00D45BEC"/>
    <w:rsid w:val="00D4660A"/>
    <w:rsid w:val="00D467B5"/>
    <w:rsid w:val="00D473A4"/>
    <w:rsid w:val="00D47483"/>
    <w:rsid w:val="00D505FC"/>
    <w:rsid w:val="00D509EC"/>
    <w:rsid w:val="00D50BAA"/>
    <w:rsid w:val="00D51078"/>
    <w:rsid w:val="00D51657"/>
    <w:rsid w:val="00D51B1B"/>
    <w:rsid w:val="00D520DF"/>
    <w:rsid w:val="00D536A8"/>
    <w:rsid w:val="00D5385E"/>
    <w:rsid w:val="00D539E8"/>
    <w:rsid w:val="00D5419F"/>
    <w:rsid w:val="00D5589B"/>
    <w:rsid w:val="00D563C2"/>
    <w:rsid w:val="00D5702E"/>
    <w:rsid w:val="00D5752D"/>
    <w:rsid w:val="00D57716"/>
    <w:rsid w:val="00D57A3E"/>
    <w:rsid w:val="00D60C6C"/>
    <w:rsid w:val="00D60EE1"/>
    <w:rsid w:val="00D612F0"/>
    <w:rsid w:val="00D615C5"/>
    <w:rsid w:val="00D617CB"/>
    <w:rsid w:val="00D624C4"/>
    <w:rsid w:val="00D62DBB"/>
    <w:rsid w:val="00D647EA"/>
    <w:rsid w:val="00D660F0"/>
    <w:rsid w:val="00D66C7A"/>
    <w:rsid w:val="00D67C37"/>
    <w:rsid w:val="00D67F73"/>
    <w:rsid w:val="00D70349"/>
    <w:rsid w:val="00D70959"/>
    <w:rsid w:val="00D70A0E"/>
    <w:rsid w:val="00D7111D"/>
    <w:rsid w:val="00D71924"/>
    <w:rsid w:val="00D71CDA"/>
    <w:rsid w:val="00D71D14"/>
    <w:rsid w:val="00D723B2"/>
    <w:rsid w:val="00D72586"/>
    <w:rsid w:val="00D72FEB"/>
    <w:rsid w:val="00D730AB"/>
    <w:rsid w:val="00D743C2"/>
    <w:rsid w:val="00D746EE"/>
    <w:rsid w:val="00D74905"/>
    <w:rsid w:val="00D769B8"/>
    <w:rsid w:val="00D77DB7"/>
    <w:rsid w:val="00D77EA4"/>
    <w:rsid w:val="00D80091"/>
    <w:rsid w:val="00D81039"/>
    <w:rsid w:val="00D81936"/>
    <w:rsid w:val="00D81CB4"/>
    <w:rsid w:val="00D8358F"/>
    <w:rsid w:val="00D83B55"/>
    <w:rsid w:val="00D8531B"/>
    <w:rsid w:val="00D858D6"/>
    <w:rsid w:val="00D86D46"/>
    <w:rsid w:val="00D90366"/>
    <w:rsid w:val="00D90702"/>
    <w:rsid w:val="00D90EAD"/>
    <w:rsid w:val="00D91198"/>
    <w:rsid w:val="00D915BC"/>
    <w:rsid w:val="00D91CF0"/>
    <w:rsid w:val="00D91D03"/>
    <w:rsid w:val="00D925B2"/>
    <w:rsid w:val="00D92721"/>
    <w:rsid w:val="00D92D52"/>
    <w:rsid w:val="00D93702"/>
    <w:rsid w:val="00D93A98"/>
    <w:rsid w:val="00D93D30"/>
    <w:rsid w:val="00D93F20"/>
    <w:rsid w:val="00D947DF"/>
    <w:rsid w:val="00D94EF0"/>
    <w:rsid w:val="00D955E6"/>
    <w:rsid w:val="00D958C8"/>
    <w:rsid w:val="00D95B68"/>
    <w:rsid w:val="00D96760"/>
    <w:rsid w:val="00D97937"/>
    <w:rsid w:val="00D979ED"/>
    <w:rsid w:val="00D97F50"/>
    <w:rsid w:val="00DA088E"/>
    <w:rsid w:val="00DA08F6"/>
    <w:rsid w:val="00DA155F"/>
    <w:rsid w:val="00DA2B95"/>
    <w:rsid w:val="00DA2C89"/>
    <w:rsid w:val="00DA2CCE"/>
    <w:rsid w:val="00DA3483"/>
    <w:rsid w:val="00DA35CC"/>
    <w:rsid w:val="00DA36CF"/>
    <w:rsid w:val="00DA413D"/>
    <w:rsid w:val="00DA46A8"/>
    <w:rsid w:val="00DA61DF"/>
    <w:rsid w:val="00DA63DF"/>
    <w:rsid w:val="00DA6B01"/>
    <w:rsid w:val="00DA6C49"/>
    <w:rsid w:val="00DA6C71"/>
    <w:rsid w:val="00DA6C7C"/>
    <w:rsid w:val="00DA720D"/>
    <w:rsid w:val="00DA7543"/>
    <w:rsid w:val="00DB0408"/>
    <w:rsid w:val="00DB0443"/>
    <w:rsid w:val="00DB0711"/>
    <w:rsid w:val="00DB0839"/>
    <w:rsid w:val="00DB0E9A"/>
    <w:rsid w:val="00DB10B6"/>
    <w:rsid w:val="00DB1463"/>
    <w:rsid w:val="00DB15A6"/>
    <w:rsid w:val="00DB17F4"/>
    <w:rsid w:val="00DB1D88"/>
    <w:rsid w:val="00DB27CD"/>
    <w:rsid w:val="00DB2CCC"/>
    <w:rsid w:val="00DB2F36"/>
    <w:rsid w:val="00DB3627"/>
    <w:rsid w:val="00DB37A4"/>
    <w:rsid w:val="00DB4540"/>
    <w:rsid w:val="00DB52FA"/>
    <w:rsid w:val="00DB5D31"/>
    <w:rsid w:val="00DB5E23"/>
    <w:rsid w:val="00DB6093"/>
    <w:rsid w:val="00DB6539"/>
    <w:rsid w:val="00DB6A9A"/>
    <w:rsid w:val="00DB6DFD"/>
    <w:rsid w:val="00DB78FD"/>
    <w:rsid w:val="00DB7B6D"/>
    <w:rsid w:val="00DB7EF7"/>
    <w:rsid w:val="00DC07C0"/>
    <w:rsid w:val="00DC0C65"/>
    <w:rsid w:val="00DC155C"/>
    <w:rsid w:val="00DC323E"/>
    <w:rsid w:val="00DC3433"/>
    <w:rsid w:val="00DC376B"/>
    <w:rsid w:val="00DC3B44"/>
    <w:rsid w:val="00DC4224"/>
    <w:rsid w:val="00DC4ACE"/>
    <w:rsid w:val="00DC4C71"/>
    <w:rsid w:val="00DC518B"/>
    <w:rsid w:val="00DC6805"/>
    <w:rsid w:val="00DC6CF7"/>
    <w:rsid w:val="00DC6D77"/>
    <w:rsid w:val="00DC7120"/>
    <w:rsid w:val="00DC7C79"/>
    <w:rsid w:val="00DD0366"/>
    <w:rsid w:val="00DD037A"/>
    <w:rsid w:val="00DD045C"/>
    <w:rsid w:val="00DD1040"/>
    <w:rsid w:val="00DD174D"/>
    <w:rsid w:val="00DD18F3"/>
    <w:rsid w:val="00DD1972"/>
    <w:rsid w:val="00DD19F6"/>
    <w:rsid w:val="00DD1BA1"/>
    <w:rsid w:val="00DD1DFA"/>
    <w:rsid w:val="00DD1E81"/>
    <w:rsid w:val="00DD27E8"/>
    <w:rsid w:val="00DD3D44"/>
    <w:rsid w:val="00DD4459"/>
    <w:rsid w:val="00DD4AB3"/>
    <w:rsid w:val="00DD5CB4"/>
    <w:rsid w:val="00DD6A9E"/>
    <w:rsid w:val="00DD77C9"/>
    <w:rsid w:val="00DD7EEF"/>
    <w:rsid w:val="00DD7F40"/>
    <w:rsid w:val="00DE0429"/>
    <w:rsid w:val="00DE0838"/>
    <w:rsid w:val="00DE0D1C"/>
    <w:rsid w:val="00DE0E2B"/>
    <w:rsid w:val="00DE19E0"/>
    <w:rsid w:val="00DE1BC9"/>
    <w:rsid w:val="00DE2ACE"/>
    <w:rsid w:val="00DE3113"/>
    <w:rsid w:val="00DE3367"/>
    <w:rsid w:val="00DE3971"/>
    <w:rsid w:val="00DE443B"/>
    <w:rsid w:val="00DE45E8"/>
    <w:rsid w:val="00DE4BEB"/>
    <w:rsid w:val="00DE58A5"/>
    <w:rsid w:val="00DE58BC"/>
    <w:rsid w:val="00DE5C9E"/>
    <w:rsid w:val="00DE74DE"/>
    <w:rsid w:val="00DE7652"/>
    <w:rsid w:val="00DE7AF3"/>
    <w:rsid w:val="00DF01C7"/>
    <w:rsid w:val="00DF031B"/>
    <w:rsid w:val="00DF1025"/>
    <w:rsid w:val="00DF1144"/>
    <w:rsid w:val="00DF1956"/>
    <w:rsid w:val="00DF1E1B"/>
    <w:rsid w:val="00DF22BE"/>
    <w:rsid w:val="00DF2A9F"/>
    <w:rsid w:val="00DF2D3A"/>
    <w:rsid w:val="00DF35FB"/>
    <w:rsid w:val="00DF3B98"/>
    <w:rsid w:val="00DF42F5"/>
    <w:rsid w:val="00DF4445"/>
    <w:rsid w:val="00DF4516"/>
    <w:rsid w:val="00DF5492"/>
    <w:rsid w:val="00DF6293"/>
    <w:rsid w:val="00DF6562"/>
    <w:rsid w:val="00DF72F5"/>
    <w:rsid w:val="00DF7C94"/>
    <w:rsid w:val="00DF7D2C"/>
    <w:rsid w:val="00E00ABF"/>
    <w:rsid w:val="00E00BB0"/>
    <w:rsid w:val="00E00FB1"/>
    <w:rsid w:val="00E019BB"/>
    <w:rsid w:val="00E01FB5"/>
    <w:rsid w:val="00E0230F"/>
    <w:rsid w:val="00E02436"/>
    <w:rsid w:val="00E02998"/>
    <w:rsid w:val="00E032D3"/>
    <w:rsid w:val="00E047A6"/>
    <w:rsid w:val="00E05541"/>
    <w:rsid w:val="00E05900"/>
    <w:rsid w:val="00E066CB"/>
    <w:rsid w:val="00E06F73"/>
    <w:rsid w:val="00E070FF"/>
    <w:rsid w:val="00E073B6"/>
    <w:rsid w:val="00E10414"/>
    <w:rsid w:val="00E10BA4"/>
    <w:rsid w:val="00E1127C"/>
    <w:rsid w:val="00E112A4"/>
    <w:rsid w:val="00E12F9B"/>
    <w:rsid w:val="00E13176"/>
    <w:rsid w:val="00E13AC8"/>
    <w:rsid w:val="00E13B4D"/>
    <w:rsid w:val="00E140B5"/>
    <w:rsid w:val="00E145D8"/>
    <w:rsid w:val="00E14C6F"/>
    <w:rsid w:val="00E152F5"/>
    <w:rsid w:val="00E1596A"/>
    <w:rsid w:val="00E15C56"/>
    <w:rsid w:val="00E15FB5"/>
    <w:rsid w:val="00E164DB"/>
    <w:rsid w:val="00E16D3B"/>
    <w:rsid w:val="00E171F1"/>
    <w:rsid w:val="00E20E4A"/>
    <w:rsid w:val="00E215E7"/>
    <w:rsid w:val="00E21FB2"/>
    <w:rsid w:val="00E22AE1"/>
    <w:rsid w:val="00E22F3C"/>
    <w:rsid w:val="00E2369A"/>
    <w:rsid w:val="00E23CED"/>
    <w:rsid w:val="00E23E52"/>
    <w:rsid w:val="00E2422A"/>
    <w:rsid w:val="00E24368"/>
    <w:rsid w:val="00E24432"/>
    <w:rsid w:val="00E246FF"/>
    <w:rsid w:val="00E2511E"/>
    <w:rsid w:val="00E25D1A"/>
    <w:rsid w:val="00E25E61"/>
    <w:rsid w:val="00E25FBB"/>
    <w:rsid w:val="00E26494"/>
    <w:rsid w:val="00E264A9"/>
    <w:rsid w:val="00E2662A"/>
    <w:rsid w:val="00E27071"/>
    <w:rsid w:val="00E270E7"/>
    <w:rsid w:val="00E27D7F"/>
    <w:rsid w:val="00E30465"/>
    <w:rsid w:val="00E30579"/>
    <w:rsid w:val="00E308B9"/>
    <w:rsid w:val="00E30F24"/>
    <w:rsid w:val="00E311B2"/>
    <w:rsid w:val="00E321D6"/>
    <w:rsid w:val="00E326F4"/>
    <w:rsid w:val="00E33070"/>
    <w:rsid w:val="00E332FF"/>
    <w:rsid w:val="00E33546"/>
    <w:rsid w:val="00E33569"/>
    <w:rsid w:val="00E336D8"/>
    <w:rsid w:val="00E336FD"/>
    <w:rsid w:val="00E3370F"/>
    <w:rsid w:val="00E339B5"/>
    <w:rsid w:val="00E34909"/>
    <w:rsid w:val="00E34B4B"/>
    <w:rsid w:val="00E34D0B"/>
    <w:rsid w:val="00E34F0E"/>
    <w:rsid w:val="00E3600E"/>
    <w:rsid w:val="00E363AA"/>
    <w:rsid w:val="00E363CD"/>
    <w:rsid w:val="00E363D5"/>
    <w:rsid w:val="00E36E0C"/>
    <w:rsid w:val="00E37180"/>
    <w:rsid w:val="00E37367"/>
    <w:rsid w:val="00E37829"/>
    <w:rsid w:val="00E379E8"/>
    <w:rsid w:val="00E37A63"/>
    <w:rsid w:val="00E37CF4"/>
    <w:rsid w:val="00E40069"/>
    <w:rsid w:val="00E40472"/>
    <w:rsid w:val="00E41082"/>
    <w:rsid w:val="00E41186"/>
    <w:rsid w:val="00E41AC1"/>
    <w:rsid w:val="00E41B04"/>
    <w:rsid w:val="00E42B62"/>
    <w:rsid w:val="00E4332E"/>
    <w:rsid w:val="00E43752"/>
    <w:rsid w:val="00E4399E"/>
    <w:rsid w:val="00E44388"/>
    <w:rsid w:val="00E44737"/>
    <w:rsid w:val="00E44B10"/>
    <w:rsid w:val="00E45156"/>
    <w:rsid w:val="00E4557E"/>
    <w:rsid w:val="00E45762"/>
    <w:rsid w:val="00E467AD"/>
    <w:rsid w:val="00E46E77"/>
    <w:rsid w:val="00E47398"/>
    <w:rsid w:val="00E50370"/>
    <w:rsid w:val="00E50A1C"/>
    <w:rsid w:val="00E51241"/>
    <w:rsid w:val="00E52905"/>
    <w:rsid w:val="00E53066"/>
    <w:rsid w:val="00E53EB8"/>
    <w:rsid w:val="00E5403D"/>
    <w:rsid w:val="00E555F1"/>
    <w:rsid w:val="00E56EF7"/>
    <w:rsid w:val="00E60776"/>
    <w:rsid w:val="00E607E8"/>
    <w:rsid w:val="00E60D04"/>
    <w:rsid w:val="00E6130D"/>
    <w:rsid w:val="00E61B9A"/>
    <w:rsid w:val="00E62368"/>
    <w:rsid w:val="00E623FE"/>
    <w:rsid w:val="00E6349A"/>
    <w:rsid w:val="00E64746"/>
    <w:rsid w:val="00E6594D"/>
    <w:rsid w:val="00E66B81"/>
    <w:rsid w:val="00E66DE9"/>
    <w:rsid w:val="00E67343"/>
    <w:rsid w:val="00E67674"/>
    <w:rsid w:val="00E6775C"/>
    <w:rsid w:val="00E6795E"/>
    <w:rsid w:val="00E67F97"/>
    <w:rsid w:val="00E71929"/>
    <w:rsid w:val="00E72010"/>
    <w:rsid w:val="00E72560"/>
    <w:rsid w:val="00E72586"/>
    <w:rsid w:val="00E72BAB"/>
    <w:rsid w:val="00E73D56"/>
    <w:rsid w:val="00E749E4"/>
    <w:rsid w:val="00E75CA2"/>
    <w:rsid w:val="00E76F72"/>
    <w:rsid w:val="00E77071"/>
    <w:rsid w:val="00E8136B"/>
    <w:rsid w:val="00E81C4F"/>
    <w:rsid w:val="00E81E72"/>
    <w:rsid w:val="00E82D7C"/>
    <w:rsid w:val="00E83A72"/>
    <w:rsid w:val="00E83E9F"/>
    <w:rsid w:val="00E867CF"/>
    <w:rsid w:val="00E869FE"/>
    <w:rsid w:val="00E86B7D"/>
    <w:rsid w:val="00E874E5"/>
    <w:rsid w:val="00E87B2C"/>
    <w:rsid w:val="00E908A3"/>
    <w:rsid w:val="00E909F1"/>
    <w:rsid w:val="00E90AB5"/>
    <w:rsid w:val="00E90BA2"/>
    <w:rsid w:val="00E9161B"/>
    <w:rsid w:val="00E91E93"/>
    <w:rsid w:val="00E9208D"/>
    <w:rsid w:val="00E92190"/>
    <w:rsid w:val="00E925EF"/>
    <w:rsid w:val="00E92723"/>
    <w:rsid w:val="00E9299E"/>
    <w:rsid w:val="00E93020"/>
    <w:rsid w:val="00E933DC"/>
    <w:rsid w:val="00E9388A"/>
    <w:rsid w:val="00E93EB0"/>
    <w:rsid w:val="00E94E39"/>
    <w:rsid w:val="00E94EF3"/>
    <w:rsid w:val="00E954BC"/>
    <w:rsid w:val="00E95C09"/>
    <w:rsid w:val="00E9726C"/>
    <w:rsid w:val="00E97829"/>
    <w:rsid w:val="00EA0BA4"/>
    <w:rsid w:val="00EA12B4"/>
    <w:rsid w:val="00EA17A6"/>
    <w:rsid w:val="00EA1E3C"/>
    <w:rsid w:val="00EA21F6"/>
    <w:rsid w:val="00EA26E8"/>
    <w:rsid w:val="00EA48FD"/>
    <w:rsid w:val="00EA4C92"/>
    <w:rsid w:val="00EA51B6"/>
    <w:rsid w:val="00EA52F2"/>
    <w:rsid w:val="00EA53DB"/>
    <w:rsid w:val="00EA5F3E"/>
    <w:rsid w:val="00EA69CC"/>
    <w:rsid w:val="00EA6E9C"/>
    <w:rsid w:val="00EA74CD"/>
    <w:rsid w:val="00EB03B0"/>
    <w:rsid w:val="00EB0FEC"/>
    <w:rsid w:val="00EB1801"/>
    <w:rsid w:val="00EB1AC1"/>
    <w:rsid w:val="00EB1FA5"/>
    <w:rsid w:val="00EB2693"/>
    <w:rsid w:val="00EB32EF"/>
    <w:rsid w:val="00EB33DD"/>
    <w:rsid w:val="00EB4369"/>
    <w:rsid w:val="00EB45F0"/>
    <w:rsid w:val="00EB52E9"/>
    <w:rsid w:val="00EB5A88"/>
    <w:rsid w:val="00EB5C9F"/>
    <w:rsid w:val="00EB6368"/>
    <w:rsid w:val="00EB774F"/>
    <w:rsid w:val="00EC006E"/>
    <w:rsid w:val="00EC025E"/>
    <w:rsid w:val="00EC0F7C"/>
    <w:rsid w:val="00EC113A"/>
    <w:rsid w:val="00EC1550"/>
    <w:rsid w:val="00EC2282"/>
    <w:rsid w:val="00EC3EAB"/>
    <w:rsid w:val="00EC5A63"/>
    <w:rsid w:val="00EC6123"/>
    <w:rsid w:val="00EC67A3"/>
    <w:rsid w:val="00EC6B90"/>
    <w:rsid w:val="00EC6DA4"/>
    <w:rsid w:val="00EC7CE7"/>
    <w:rsid w:val="00ED060F"/>
    <w:rsid w:val="00ED0CA1"/>
    <w:rsid w:val="00ED0D86"/>
    <w:rsid w:val="00ED0FF1"/>
    <w:rsid w:val="00ED1540"/>
    <w:rsid w:val="00ED15D3"/>
    <w:rsid w:val="00ED15EE"/>
    <w:rsid w:val="00ED28E4"/>
    <w:rsid w:val="00ED2B57"/>
    <w:rsid w:val="00ED2EB9"/>
    <w:rsid w:val="00ED328E"/>
    <w:rsid w:val="00ED34C6"/>
    <w:rsid w:val="00ED390D"/>
    <w:rsid w:val="00ED45ED"/>
    <w:rsid w:val="00ED475A"/>
    <w:rsid w:val="00ED4AF2"/>
    <w:rsid w:val="00ED5E1B"/>
    <w:rsid w:val="00ED7127"/>
    <w:rsid w:val="00ED7694"/>
    <w:rsid w:val="00ED7FFA"/>
    <w:rsid w:val="00EE0416"/>
    <w:rsid w:val="00EE0782"/>
    <w:rsid w:val="00EE1910"/>
    <w:rsid w:val="00EE1A5F"/>
    <w:rsid w:val="00EE1C4D"/>
    <w:rsid w:val="00EE1E86"/>
    <w:rsid w:val="00EE23CC"/>
    <w:rsid w:val="00EE32EA"/>
    <w:rsid w:val="00EE3905"/>
    <w:rsid w:val="00EE3A02"/>
    <w:rsid w:val="00EE3AEE"/>
    <w:rsid w:val="00EE3D88"/>
    <w:rsid w:val="00EE3F98"/>
    <w:rsid w:val="00EE45C0"/>
    <w:rsid w:val="00EE47BD"/>
    <w:rsid w:val="00EE47E9"/>
    <w:rsid w:val="00EE4872"/>
    <w:rsid w:val="00EE4AE3"/>
    <w:rsid w:val="00EE50B6"/>
    <w:rsid w:val="00EE56F3"/>
    <w:rsid w:val="00EE5B45"/>
    <w:rsid w:val="00EE5F02"/>
    <w:rsid w:val="00EE61AC"/>
    <w:rsid w:val="00EE6AC6"/>
    <w:rsid w:val="00EE7045"/>
    <w:rsid w:val="00EE7773"/>
    <w:rsid w:val="00EF0115"/>
    <w:rsid w:val="00EF0FC6"/>
    <w:rsid w:val="00EF0FFE"/>
    <w:rsid w:val="00EF4196"/>
    <w:rsid w:val="00EF4245"/>
    <w:rsid w:val="00EF47D6"/>
    <w:rsid w:val="00EF530E"/>
    <w:rsid w:val="00EF648D"/>
    <w:rsid w:val="00EF6948"/>
    <w:rsid w:val="00EF700B"/>
    <w:rsid w:val="00EF71D6"/>
    <w:rsid w:val="00EF71F6"/>
    <w:rsid w:val="00EF75FA"/>
    <w:rsid w:val="00EF7975"/>
    <w:rsid w:val="00EF7F74"/>
    <w:rsid w:val="00F00601"/>
    <w:rsid w:val="00F0075E"/>
    <w:rsid w:val="00F00A53"/>
    <w:rsid w:val="00F00A86"/>
    <w:rsid w:val="00F0101D"/>
    <w:rsid w:val="00F01408"/>
    <w:rsid w:val="00F01637"/>
    <w:rsid w:val="00F01AE4"/>
    <w:rsid w:val="00F01C82"/>
    <w:rsid w:val="00F01E81"/>
    <w:rsid w:val="00F0268F"/>
    <w:rsid w:val="00F02FCF"/>
    <w:rsid w:val="00F0337B"/>
    <w:rsid w:val="00F03C5F"/>
    <w:rsid w:val="00F0425F"/>
    <w:rsid w:val="00F052A9"/>
    <w:rsid w:val="00F058F2"/>
    <w:rsid w:val="00F05E6E"/>
    <w:rsid w:val="00F071D8"/>
    <w:rsid w:val="00F0773D"/>
    <w:rsid w:val="00F07BBF"/>
    <w:rsid w:val="00F1026F"/>
    <w:rsid w:val="00F1178A"/>
    <w:rsid w:val="00F118A2"/>
    <w:rsid w:val="00F11C13"/>
    <w:rsid w:val="00F12034"/>
    <w:rsid w:val="00F12B38"/>
    <w:rsid w:val="00F12FBF"/>
    <w:rsid w:val="00F132D9"/>
    <w:rsid w:val="00F13EA5"/>
    <w:rsid w:val="00F143ED"/>
    <w:rsid w:val="00F150D2"/>
    <w:rsid w:val="00F162F7"/>
    <w:rsid w:val="00F17B95"/>
    <w:rsid w:val="00F17DB0"/>
    <w:rsid w:val="00F208D9"/>
    <w:rsid w:val="00F20E93"/>
    <w:rsid w:val="00F21B8F"/>
    <w:rsid w:val="00F21EA9"/>
    <w:rsid w:val="00F2238C"/>
    <w:rsid w:val="00F223FC"/>
    <w:rsid w:val="00F228E7"/>
    <w:rsid w:val="00F22B10"/>
    <w:rsid w:val="00F23626"/>
    <w:rsid w:val="00F24403"/>
    <w:rsid w:val="00F24BE1"/>
    <w:rsid w:val="00F24CA1"/>
    <w:rsid w:val="00F26045"/>
    <w:rsid w:val="00F26771"/>
    <w:rsid w:val="00F26AE6"/>
    <w:rsid w:val="00F26D83"/>
    <w:rsid w:val="00F27561"/>
    <w:rsid w:val="00F27782"/>
    <w:rsid w:val="00F27C87"/>
    <w:rsid w:val="00F27D54"/>
    <w:rsid w:val="00F27E32"/>
    <w:rsid w:val="00F310CF"/>
    <w:rsid w:val="00F312D4"/>
    <w:rsid w:val="00F31318"/>
    <w:rsid w:val="00F31CAE"/>
    <w:rsid w:val="00F32039"/>
    <w:rsid w:val="00F32273"/>
    <w:rsid w:val="00F324F9"/>
    <w:rsid w:val="00F32928"/>
    <w:rsid w:val="00F33B6F"/>
    <w:rsid w:val="00F33F5F"/>
    <w:rsid w:val="00F340B7"/>
    <w:rsid w:val="00F34ED5"/>
    <w:rsid w:val="00F356A4"/>
    <w:rsid w:val="00F374E2"/>
    <w:rsid w:val="00F37E13"/>
    <w:rsid w:val="00F408B5"/>
    <w:rsid w:val="00F41163"/>
    <w:rsid w:val="00F41777"/>
    <w:rsid w:val="00F41B59"/>
    <w:rsid w:val="00F42107"/>
    <w:rsid w:val="00F421BC"/>
    <w:rsid w:val="00F421FB"/>
    <w:rsid w:val="00F42583"/>
    <w:rsid w:val="00F42A38"/>
    <w:rsid w:val="00F42E4B"/>
    <w:rsid w:val="00F431BB"/>
    <w:rsid w:val="00F434B8"/>
    <w:rsid w:val="00F43FBC"/>
    <w:rsid w:val="00F44AE3"/>
    <w:rsid w:val="00F45418"/>
    <w:rsid w:val="00F454B3"/>
    <w:rsid w:val="00F456EA"/>
    <w:rsid w:val="00F45E37"/>
    <w:rsid w:val="00F46262"/>
    <w:rsid w:val="00F464E2"/>
    <w:rsid w:val="00F46675"/>
    <w:rsid w:val="00F469C1"/>
    <w:rsid w:val="00F46B1C"/>
    <w:rsid w:val="00F46E39"/>
    <w:rsid w:val="00F4781F"/>
    <w:rsid w:val="00F5000A"/>
    <w:rsid w:val="00F50473"/>
    <w:rsid w:val="00F5072C"/>
    <w:rsid w:val="00F5087B"/>
    <w:rsid w:val="00F5129A"/>
    <w:rsid w:val="00F51C4F"/>
    <w:rsid w:val="00F521E5"/>
    <w:rsid w:val="00F524F1"/>
    <w:rsid w:val="00F527C7"/>
    <w:rsid w:val="00F52D9D"/>
    <w:rsid w:val="00F54F17"/>
    <w:rsid w:val="00F55B7C"/>
    <w:rsid w:val="00F564F0"/>
    <w:rsid w:val="00F56C72"/>
    <w:rsid w:val="00F6016C"/>
    <w:rsid w:val="00F60FEE"/>
    <w:rsid w:val="00F6106C"/>
    <w:rsid w:val="00F6150D"/>
    <w:rsid w:val="00F61B64"/>
    <w:rsid w:val="00F61C8E"/>
    <w:rsid w:val="00F6266E"/>
    <w:rsid w:val="00F62876"/>
    <w:rsid w:val="00F62BCD"/>
    <w:rsid w:val="00F62D5E"/>
    <w:rsid w:val="00F62DD7"/>
    <w:rsid w:val="00F640C4"/>
    <w:rsid w:val="00F6443B"/>
    <w:rsid w:val="00F6462E"/>
    <w:rsid w:val="00F65019"/>
    <w:rsid w:val="00F654AE"/>
    <w:rsid w:val="00F66063"/>
    <w:rsid w:val="00F66598"/>
    <w:rsid w:val="00F66DAE"/>
    <w:rsid w:val="00F66E3B"/>
    <w:rsid w:val="00F6776C"/>
    <w:rsid w:val="00F67961"/>
    <w:rsid w:val="00F7033F"/>
    <w:rsid w:val="00F70657"/>
    <w:rsid w:val="00F717E4"/>
    <w:rsid w:val="00F71B3A"/>
    <w:rsid w:val="00F73A3C"/>
    <w:rsid w:val="00F74315"/>
    <w:rsid w:val="00F756E9"/>
    <w:rsid w:val="00F75F09"/>
    <w:rsid w:val="00F75FEE"/>
    <w:rsid w:val="00F76D05"/>
    <w:rsid w:val="00F77150"/>
    <w:rsid w:val="00F771DE"/>
    <w:rsid w:val="00F773D5"/>
    <w:rsid w:val="00F77A53"/>
    <w:rsid w:val="00F77EF5"/>
    <w:rsid w:val="00F800A2"/>
    <w:rsid w:val="00F80302"/>
    <w:rsid w:val="00F80DF2"/>
    <w:rsid w:val="00F815EF"/>
    <w:rsid w:val="00F81A1A"/>
    <w:rsid w:val="00F83080"/>
    <w:rsid w:val="00F830ED"/>
    <w:rsid w:val="00F8327A"/>
    <w:rsid w:val="00F83792"/>
    <w:rsid w:val="00F84083"/>
    <w:rsid w:val="00F84B46"/>
    <w:rsid w:val="00F85313"/>
    <w:rsid w:val="00F85F58"/>
    <w:rsid w:val="00F861A5"/>
    <w:rsid w:val="00F865EA"/>
    <w:rsid w:val="00F86B2E"/>
    <w:rsid w:val="00F86D05"/>
    <w:rsid w:val="00F86F27"/>
    <w:rsid w:val="00F8706B"/>
    <w:rsid w:val="00F870FE"/>
    <w:rsid w:val="00F9040D"/>
    <w:rsid w:val="00F90477"/>
    <w:rsid w:val="00F9088C"/>
    <w:rsid w:val="00F912BD"/>
    <w:rsid w:val="00F91B4F"/>
    <w:rsid w:val="00F92D67"/>
    <w:rsid w:val="00F934A3"/>
    <w:rsid w:val="00F93ADD"/>
    <w:rsid w:val="00F93B1E"/>
    <w:rsid w:val="00F94A39"/>
    <w:rsid w:val="00F94B2A"/>
    <w:rsid w:val="00F960D6"/>
    <w:rsid w:val="00F97CFC"/>
    <w:rsid w:val="00FA022B"/>
    <w:rsid w:val="00FA0883"/>
    <w:rsid w:val="00FA0E01"/>
    <w:rsid w:val="00FA0FA5"/>
    <w:rsid w:val="00FA1008"/>
    <w:rsid w:val="00FA1729"/>
    <w:rsid w:val="00FA1797"/>
    <w:rsid w:val="00FA18A0"/>
    <w:rsid w:val="00FA3117"/>
    <w:rsid w:val="00FA347F"/>
    <w:rsid w:val="00FA3AEC"/>
    <w:rsid w:val="00FA3E97"/>
    <w:rsid w:val="00FA4D85"/>
    <w:rsid w:val="00FA4FA4"/>
    <w:rsid w:val="00FA5CE6"/>
    <w:rsid w:val="00FA5EBA"/>
    <w:rsid w:val="00FA7E35"/>
    <w:rsid w:val="00FB0578"/>
    <w:rsid w:val="00FB0B71"/>
    <w:rsid w:val="00FB1AFD"/>
    <w:rsid w:val="00FB1F6B"/>
    <w:rsid w:val="00FB26E5"/>
    <w:rsid w:val="00FB3E79"/>
    <w:rsid w:val="00FB44C4"/>
    <w:rsid w:val="00FB44C9"/>
    <w:rsid w:val="00FB4A83"/>
    <w:rsid w:val="00FB4CE6"/>
    <w:rsid w:val="00FB5C02"/>
    <w:rsid w:val="00FB632A"/>
    <w:rsid w:val="00FB676F"/>
    <w:rsid w:val="00FB704B"/>
    <w:rsid w:val="00FB7250"/>
    <w:rsid w:val="00FC06DC"/>
    <w:rsid w:val="00FC3C2B"/>
    <w:rsid w:val="00FC3F0E"/>
    <w:rsid w:val="00FC44EA"/>
    <w:rsid w:val="00FC4A4C"/>
    <w:rsid w:val="00FC4C95"/>
    <w:rsid w:val="00FC5C90"/>
    <w:rsid w:val="00FC6166"/>
    <w:rsid w:val="00FC6391"/>
    <w:rsid w:val="00FC722E"/>
    <w:rsid w:val="00FD0175"/>
    <w:rsid w:val="00FD08DB"/>
    <w:rsid w:val="00FD0EA9"/>
    <w:rsid w:val="00FD11A1"/>
    <w:rsid w:val="00FD1E1F"/>
    <w:rsid w:val="00FD1EAE"/>
    <w:rsid w:val="00FD31C0"/>
    <w:rsid w:val="00FD3319"/>
    <w:rsid w:val="00FD5824"/>
    <w:rsid w:val="00FD6E43"/>
    <w:rsid w:val="00FD6ECF"/>
    <w:rsid w:val="00FD7092"/>
    <w:rsid w:val="00FD782B"/>
    <w:rsid w:val="00FD7983"/>
    <w:rsid w:val="00FE0AD1"/>
    <w:rsid w:val="00FE0F0C"/>
    <w:rsid w:val="00FE1212"/>
    <w:rsid w:val="00FE1A4E"/>
    <w:rsid w:val="00FE1C86"/>
    <w:rsid w:val="00FE25CA"/>
    <w:rsid w:val="00FE27E3"/>
    <w:rsid w:val="00FE2966"/>
    <w:rsid w:val="00FE326E"/>
    <w:rsid w:val="00FE360F"/>
    <w:rsid w:val="00FE5164"/>
    <w:rsid w:val="00FE536F"/>
    <w:rsid w:val="00FE582F"/>
    <w:rsid w:val="00FE591A"/>
    <w:rsid w:val="00FE5E98"/>
    <w:rsid w:val="00FE6058"/>
    <w:rsid w:val="00FE692F"/>
    <w:rsid w:val="00FE771C"/>
    <w:rsid w:val="00FE7903"/>
    <w:rsid w:val="00FF0052"/>
    <w:rsid w:val="00FF05D8"/>
    <w:rsid w:val="00FF0F02"/>
    <w:rsid w:val="00FF12A3"/>
    <w:rsid w:val="00FF17FB"/>
    <w:rsid w:val="00FF184B"/>
    <w:rsid w:val="00FF1F08"/>
    <w:rsid w:val="00FF2332"/>
    <w:rsid w:val="00FF250D"/>
    <w:rsid w:val="00FF28F8"/>
    <w:rsid w:val="00FF2A8D"/>
    <w:rsid w:val="00FF30B6"/>
    <w:rsid w:val="00FF310E"/>
    <w:rsid w:val="00FF3D4B"/>
    <w:rsid w:val="00FF4E52"/>
    <w:rsid w:val="00FF4EB8"/>
    <w:rsid w:val="00FF4FBB"/>
    <w:rsid w:val="00FF52BC"/>
    <w:rsid w:val="00FF53EE"/>
    <w:rsid w:val="00FF5807"/>
    <w:rsid w:val="00FF5D50"/>
    <w:rsid w:val="00FF6348"/>
    <w:rsid w:val="00FF634B"/>
    <w:rsid w:val="00FF63F3"/>
    <w:rsid w:val="00FF6CD3"/>
    <w:rsid w:val="00FF716A"/>
    <w:rsid w:val="00FF793E"/>
    <w:rsid w:val="00FF7A51"/>
    <w:rsid w:val="072F1219"/>
    <w:rsid w:val="0820141E"/>
    <w:rsid w:val="083968AC"/>
    <w:rsid w:val="09B61222"/>
    <w:rsid w:val="0A704A11"/>
    <w:rsid w:val="13B3499E"/>
    <w:rsid w:val="19E34FA4"/>
    <w:rsid w:val="1B9650D9"/>
    <w:rsid w:val="1DDB18C2"/>
    <w:rsid w:val="1E2D4764"/>
    <w:rsid w:val="1F34767E"/>
    <w:rsid w:val="201534EF"/>
    <w:rsid w:val="202D3CE8"/>
    <w:rsid w:val="22D5172E"/>
    <w:rsid w:val="22D73B9A"/>
    <w:rsid w:val="23BD4653"/>
    <w:rsid w:val="25A93CF2"/>
    <w:rsid w:val="2647350F"/>
    <w:rsid w:val="26C30AD9"/>
    <w:rsid w:val="29123C76"/>
    <w:rsid w:val="292B6CBA"/>
    <w:rsid w:val="2BD73FCE"/>
    <w:rsid w:val="2E414A43"/>
    <w:rsid w:val="2FE01B79"/>
    <w:rsid w:val="3044707C"/>
    <w:rsid w:val="34EB61A4"/>
    <w:rsid w:val="34FAAD56"/>
    <w:rsid w:val="35F745D6"/>
    <w:rsid w:val="363F452C"/>
    <w:rsid w:val="374D7540"/>
    <w:rsid w:val="384F780E"/>
    <w:rsid w:val="392839A6"/>
    <w:rsid w:val="3CB64D8B"/>
    <w:rsid w:val="3D41309C"/>
    <w:rsid w:val="412676E5"/>
    <w:rsid w:val="412743DC"/>
    <w:rsid w:val="447D2117"/>
    <w:rsid w:val="47A27543"/>
    <w:rsid w:val="49252224"/>
    <w:rsid w:val="49600597"/>
    <w:rsid w:val="498F29EF"/>
    <w:rsid w:val="4A8E6512"/>
    <w:rsid w:val="4BDA5820"/>
    <w:rsid w:val="4BFF9411"/>
    <w:rsid w:val="4D2443F0"/>
    <w:rsid w:val="4D9E6E33"/>
    <w:rsid w:val="4F2D2B9D"/>
    <w:rsid w:val="4FD172EC"/>
    <w:rsid w:val="50F23CDB"/>
    <w:rsid w:val="51042BBE"/>
    <w:rsid w:val="52D73051"/>
    <w:rsid w:val="53970801"/>
    <w:rsid w:val="539D23FD"/>
    <w:rsid w:val="580654F6"/>
    <w:rsid w:val="5BDD16F3"/>
    <w:rsid w:val="5C7D0DB9"/>
    <w:rsid w:val="5EFEF1CF"/>
    <w:rsid w:val="5F4D4C9B"/>
    <w:rsid w:val="60F35463"/>
    <w:rsid w:val="60F72696"/>
    <w:rsid w:val="618E553F"/>
    <w:rsid w:val="64504ECE"/>
    <w:rsid w:val="64AD05FA"/>
    <w:rsid w:val="65B35A09"/>
    <w:rsid w:val="65CE5F39"/>
    <w:rsid w:val="67723E85"/>
    <w:rsid w:val="69AC126E"/>
    <w:rsid w:val="6C4E54D9"/>
    <w:rsid w:val="6D2B5BBF"/>
    <w:rsid w:val="6D3C6797"/>
    <w:rsid w:val="6DB877E5"/>
    <w:rsid w:val="6DE52040"/>
    <w:rsid w:val="6F941DD7"/>
    <w:rsid w:val="6FBFBB6E"/>
    <w:rsid w:val="6FFB5412"/>
    <w:rsid w:val="70F35AA5"/>
    <w:rsid w:val="71753A92"/>
    <w:rsid w:val="71D046EE"/>
    <w:rsid w:val="74E7B7A7"/>
    <w:rsid w:val="750A2D62"/>
    <w:rsid w:val="751C2881"/>
    <w:rsid w:val="752F3234"/>
    <w:rsid w:val="75BA294F"/>
    <w:rsid w:val="75E22AB4"/>
    <w:rsid w:val="75FB8D91"/>
    <w:rsid w:val="76B113CD"/>
    <w:rsid w:val="77843214"/>
    <w:rsid w:val="77BDBF38"/>
    <w:rsid w:val="7A0B0D51"/>
    <w:rsid w:val="7AFF3E49"/>
    <w:rsid w:val="7B651540"/>
    <w:rsid w:val="7E856ED0"/>
    <w:rsid w:val="7F7D678D"/>
    <w:rsid w:val="7F9B6A3B"/>
    <w:rsid w:val="7FA71F3E"/>
    <w:rsid w:val="7FC65A6B"/>
    <w:rsid w:val="7FF71180"/>
    <w:rsid w:val="7FFCC52A"/>
    <w:rsid w:val="8EE76F5A"/>
    <w:rsid w:val="8FF7CE18"/>
    <w:rsid w:val="B7BD532C"/>
    <w:rsid w:val="BBFD1AE8"/>
    <w:rsid w:val="BF9F3634"/>
    <w:rsid w:val="BFFCD216"/>
    <w:rsid w:val="BFFD524E"/>
    <w:rsid w:val="BFFFA749"/>
    <w:rsid w:val="C73B0DB3"/>
    <w:rsid w:val="CDAF93E9"/>
    <w:rsid w:val="D977D5E4"/>
    <w:rsid w:val="DBFD0C3A"/>
    <w:rsid w:val="EF9FC376"/>
    <w:rsid w:val="F6FDF47F"/>
    <w:rsid w:val="FC3D18F5"/>
    <w:rsid w:val="FF5BA102"/>
    <w:rsid w:val="FFFFAB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next w:val="1"/>
    <w:link w:val="63"/>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link w:val="64"/>
    <w:qFormat/>
    <w:uiPriority w:val="0"/>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link w:val="65"/>
    <w:qFormat/>
    <w:uiPriority w:val="0"/>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link w:val="66"/>
    <w:qFormat/>
    <w:uiPriority w:val="0"/>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link w:val="67"/>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link w:val="68"/>
    <w:qFormat/>
    <w:uiPriority w:val="0"/>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link w:val="69"/>
    <w:qFormat/>
    <w:uiPriority w:val="0"/>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link w:val="70"/>
    <w:qFormat/>
    <w:uiPriority w:val="0"/>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link w:val="71"/>
    <w:qFormat/>
    <w:uiPriority w:val="0"/>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55">
    <w:name w:val="Default Paragraph Font"/>
    <w:semiHidden/>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72"/>
    <w:qFormat/>
    <w:uiPriority w:val="0"/>
    <w:pPr>
      <w:ind w:firstLine="420"/>
    </w:pPr>
    <w:rPr>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0"/>
    <w:pPr>
      <w:shd w:val="clear" w:color="auto" w:fill="000080"/>
    </w:pPr>
  </w:style>
  <w:style w:type="paragraph" w:styleId="16">
    <w:name w:val="annotation text"/>
    <w:basedOn w:val="1"/>
    <w:link w:val="74"/>
    <w:qFormat/>
    <w:uiPriority w:val="99"/>
    <w:pPr>
      <w:jc w:val="left"/>
    </w:pPr>
  </w:style>
  <w:style w:type="paragraph" w:styleId="17">
    <w:name w:val="Salutation"/>
    <w:basedOn w:val="1"/>
    <w:next w:val="1"/>
    <w:link w:val="75"/>
    <w:qFormat/>
    <w:uiPriority w:val="0"/>
    <w:rPr>
      <w:sz w:val="28"/>
      <w:szCs w:val="20"/>
    </w:rPr>
  </w:style>
  <w:style w:type="paragraph" w:styleId="18">
    <w:name w:val="Body Text 3"/>
    <w:basedOn w:val="1"/>
    <w:link w:val="76"/>
    <w:qFormat/>
    <w:uiPriority w:val="0"/>
    <w:rPr>
      <w:rFonts w:ascii="美黑" w:eastAsia="美黑"/>
      <w:color w:val="000000"/>
      <w:szCs w:val="20"/>
    </w:rPr>
  </w:style>
  <w:style w:type="paragraph" w:styleId="19">
    <w:name w:val="Body Text"/>
    <w:link w:val="77"/>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20">
    <w:name w:val="Body Text Indent"/>
    <w:basedOn w:val="1"/>
    <w:link w:val="78"/>
    <w:qFormat/>
    <w:uiPriority w:val="0"/>
    <w:pPr>
      <w:spacing w:line="440" w:lineRule="exact"/>
      <w:ind w:firstLine="525"/>
    </w:pPr>
    <w:rPr>
      <w:sz w:val="28"/>
      <w:szCs w:val="20"/>
    </w:rPr>
  </w:style>
  <w:style w:type="paragraph" w:styleId="21">
    <w:name w:val="List 2"/>
    <w:basedOn w:val="1"/>
    <w:qFormat/>
    <w:uiPriority w:val="0"/>
    <w:pPr>
      <w:ind w:left="100" w:leftChars="200" w:hanging="200" w:hangingChars="200"/>
    </w:pPr>
  </w:style>
  <w:style w:type="paragraph" w:styleId="22">
    <w:name w:val="List Continue"/>
    <w:basedOn w:val="1"/>
    <w:qFormat/>
    <w:uiPriority w:val="0"/>
    <w:pPr>
      <w:widowControl/>
      <w:spacing w:after="120"/>
      <w:ind w:left="420"/>
      <w:jc w:val="left"/>
    </w:pPr>
    <w:rPr>
      <w:rFonts w:ascii="宋体"/>
      <w:kern w:val="0"/>
      <w:sz w:val="22"/>
      <w:szCs w:val="20"/>
    </w:rPr>
  </w:style>
  <w:style w:type="paragraph" w:styleId="23">
    <w:name w:val="Block Text"/>
    <w:basedOn w:val="1"/>
    <w:qFormat/>
    <w:uiPriority w:val="0"/>
    <w:pPr>
      <w:autoSpaceDE w:val="0"/>
      <w:autoSpaceDN w:val="0"/>
      <w:adjustRightInd w:val="0"/>
      <w:spacing w:line="360" w:lineRule="auto"/>
      <w:ind w:left="286" w:right="6" w:firstLine="554"/>
    </w:pPr>
    <w:rPr>
      <w:kern w:val="0"/>
      <w:sz w:val="24"/>
    </w:rPr>
  </w:style>
  <w:style w:type="paragraph" w:styleId="24">
    <w:name w:val="List Bullet 2"/>
    <w:basedOn w:val="1"/>
    <w:qFormat/>
    <w:uiPriority w:val="0"/>
    <w:pPr>
      <w:widowControl/>
      <w:tabs>
        <w:tab w:val="left" w:pos="360"/>
        <w:tab w:val="left" w:pos="720"/>
      </w:tabs>
      <w:spacing w:after="200" w:line="276" w:lineRule="auto"/>
      <w:ind w:left="720" w:hanging="720"/>
      <w:jc w:val="left"/>
    </w:pPr>
    <w:rPr>
      <w:rFonts w:ascii="Calibri" w:hAnsi="Calibri"/>
      <w:kern w:val="0"/>
      <w:sz w:val="22"/>
      <w:szCs w:val="22"/>
    </w:rPr>
  </w:style>
  <w:style w:type="paragraph" w:styleId="25">
    <w:name w:val="index 4"/>
    <w:basedOn w:val="1"/>
    <w:next w:val="1"/>
    <w:qFormat/>
    <w:uiPriority w:val="0"/>
    <w:pPr>
      <w:ind w:left="600" w:leftChars="600"/>
    </w:p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0"/>
    <w:pPr>
      <w:ind w:left="840" w:leftChars="400"/>
    </w:pPr>
  </w:style>
  <w:style w:type="paragraph" w:styleId="28">
    <w:name w:val="Plain Text"/>
    <w:basedOn w:val="1"/>
    <w:link w:val="79"/>
    <w:qFormat/>
    <w:uiPriority w:val="0"/>
    <w:rPr>
      <w:rFonts w:ascii="宋体" w:hAnsi="Courier New"/>
      <w:szCs w:val="20"/>
    </w:rPr>
  </w:style>
  <w:style w:type="paragraph" w:styleId="29">
    <w:name w:val="toc 8"/>
    <w:basedOn w:val="1"/>
    <w:next w:val="1"/>
    <w:qFormat/>
    <w:uiPriority w:val="0"/>
    <w:pPr>
      <w:ind w:left="1470"/>
      <w:jc w:val="left"/>
    </w:pPr>
    <w:rPr>
      <w:szCs w:val="21"/>
    </w:rPr>
  </w:style>
  <w:style w:type="paragraph" w:styleId="30">
    <w:name w:val="Date"/>
    <w:basedOn w:val="1"/>
    <w:next w:val="1"/>
    <w:link w:val="80"/>
    <w:qFormat/>
    <w:uiPriority w:val="0"/>
    <w:rPr>
      <w:rFonts w:ascii="宋体"/>
      <w:sz w:val="28"/>
      <w:szCs w:val="20"/>
    </w:rPr>
  </w:style>
  <w:style w:type="paragraph" w:styleId="31">
    <w:name w:val="Body Text Indent 2"/>
    <w:basedOn w:val="1"/>
    <w:link w:val="81"/>
    <w:qFormat/>
    <w:uiPriority w:val="0"/>
    <w:pPr>
      <w:spacing w:line="440" w:lineRule="exact"/>
      <w:ind w:firstLine="570"/>
    </w:pPr>
    <w:rPr>
      <w:sz w:val="28"/>
      <w:szCs w:val="20"/>
    </w:rPr>
  </w:style>
  <w:style w:type="paragraph" w:styleId="32">
    <w:name w:val="Balloon Text"/>
    <w:basedOn w:val="1"/>
    <w:link w:val="82"/>
    <w:qFormat/>
    <w:uiPriority w:val="0"/>
    <w:rPr>
      <w:sz w:val="18"/>
      <w:szCs w:val="18"/>
    </w:rPr>
  </w:style>
  <w:style w:type="paragraph" w:styleId="33">
    <w:name w:val="footer"/>
    <w:basedOn w:val="1"/>
    <w:link w:val="83"/>
    <w:qFormat/>
    <w:uiPriority w:val="99"/>
    <w:pPr>
      <w:tabs>
        <w:tab w:val="center" w:pos="4153"/>
        <w:tab w:val="right" w:pos="8306"/>
      </w:tabs>
      <w:snapToGrid w:val="0"/>
      <w:jc w:val="left"/>
    </w:pPr>
    <w:rPr>
      <w:sz w:val="18"/>
      <w:szCs w:val="18"/>
    </w:rPr>
  </w:style>
  <w:style w:type="paragraph" w:styleId="34">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5">
    <w:name w:val="Signature"/>
    <w:basedOn w:val="1"/>
    <w:qFormat/>
    <w:uiPriority w:val="0"/>
    <w:pPr>
      <w:ind w:left="100" w:leftChars="2100"/>
    </w:pPr>
  </w:style>
  <w:style w:type="paragraph" w:styleId="36">
    <w:name w:val="toc 1"/>
    <w:basedOn w:val="1"/>
    <w:next w:val="1"/>
    <w:qFormat/>
    <w:uiPriority w:val="39"/>
    <w:pPr>
      <w:tabs>
        <w:tab w:val="right" w:leader="dot" w:pos="8505"/>
      </w:tabs>
      <w:spacing w:line="360" w:lineRule="auto"/>
    </w:pPr>
    <w:rPr>
      <w:b/>
      <w:sz w:val="32"/>
    </w:rPr>
  </w:style>
  <w:style w:type="paragraph" w:styleId="37">
    <w:name w:val="toc 4"/>
    <w:basedOn w:val="1"/>
    <w:next w:val="1"/>
    <w:qFormat/>
    <w:uiPriority w:val="0"/>
    <w:pPr>
      <w:ind w:left="1260" w:leftChars="600"/>
    </w:pPr>
  </w:style>
  <w:style w:type="paragraph" w:styleId="38">
    <w:name w:val="Subtitle"/>
    <w:next w:val="1"/>
    <w:link w:val="85"/>
    <w:qFormat/>
    <w:uiPriority w:val="0"/>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2100" w:leftChars="1000"/>
    </w:pPr>
    <w:rPr>
      <w:rFonts w:ascii="Calibri" w:hAnsi="Calibri"/>
      <w:szCs w:val="22"/>
    </w:rPr>
  </w:style>
  <w:style w:type="paragraph" w:styleId="41">
    <w:name w:val="List 5"/>
    <w:basedOn w:val="1"/>
    <w:qFormat/>
    <w:uiPriority w:val="0"/>
    <w:pPr>
      <w:ind w:left="100" w:leftChars="800" w:hanging="200" w:hangingChars="200"/>
      <w:contextualSpacing/>
    </w:pPr>
  </w:style>
  <w:style w:type="paragraph" w:styleId="42">
    <w:name w:val="Body Text Indent 3"/>
    <w:basedOn w:val="1"/>
    <w:link w:val="86"/>
    <w:qFormat/>
    <w:uiPriority w:val="0"/>
    <w:pPr>
      <w:autoSpaceDE w:val="0"/>
      <w:autoSpaceDN w:val="0"/>
      <w:adjustRightInd w:val="0"/>
      <w:ind w:firstLine="570"/>
      <w:jc w:val="left"/>
    </w:pPr>
    <w:rPr>
      <w:rFonts w:ascii="宋体"/>
      <w:kern w:val="0"/>
      <w:szCs w:val="20"/>
    </w:rPr>
  </w:style>
  <w:style w:type="paragraph" w:styleId="43">
    <w:name w:val="toc 2"/>
    <w:basedOn w:val="1"/>
    <w:next w:val="1"/>
    <w:qFormat/>
    <w:uiPriority w:val="39"/>
    <w:pPr>
      <w:tabs>
        <w:tab w:val="right" w:leader="dot" w:pos="8505"/>
      </w:tabs>
      <w:spacing w:line="360" w:lineRule="auto"/>
      <w:ind w:left="420" w:leftChars="200"/>
    </w:pPr>
    <w:rPr>
      <w:b/>
      <w:sz w:val="28"/>
    </w:rPr>
  </w:style>
  <w:style w:type="paragraph" w:styleId="44">
    <w:name w:val="toc 9"/>
    <w:basedOn w:val="1"/>
    <w:next w:val="1"/>
    <w:qFormat/>
    <w:uiPriority w:val="0"/>
    <w:pPr>
      <w:ind w:left="3360" w:leftChars="1600"/>
    </w:pPr>
    <w:rPr>
      <w:rFonts w:ascii="Calibri" w:hAnsi="Calibri"/>
      <w:szCs w:val="22"/>
    </w:rPr>
  </w:style>
  <w:style w:type="paragraph" w:styleId="45">
    <w:name w:val="Body Text 2"/>
    <w:basedOn w:val="1"/>
    <w:link w:val="87"/>
    <w:qFormat/>
    <w:uiPriority w:val="0"/>
    <w:rPr>
      <w:sz w:val="24"/>
      <w:szCs w:val="20"/>
    </w:rPr>
  </w:style>
  <w:style w:type="paragraph" w:styleId="4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4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8">
    <w:name w:val="Normal (Web)"/>
    <w:basedOn w:val="1"/>
    <w:qFormat/>
    <w:uiPriority w:val="99"/>
    <w:pPr>
      <w:widowControl/>
      <w:spacing w:before="100" w:beforeAutospacing="1" w:after="100" w:afterAutospacing="1"/>
      <w:jc w:val="left"/>
    </w:pPr>
    <w:rPr>
      <w:rFonts w:ascii="宋体" w:hAnsi="宋体"/>
      <w:kern w:val="0"/>
      <w:sz w:val="24"/>
    </w:rPr>
  </w:style>
  <w:style w:type="paragraph" w:styleId="49">
    <w:name w:val="index 1"/>
    <w:basedOn w:val="1"/>
    <w:next w:val="1"/>
    <w:qFormat/>
    <w:uiPriority w:val="0"/>
    <w:pPr>
      <w:suppressAutoHyphens/>
    </w:pPr>
    <w:rPr>
      <w:rFonts w:ascii="Arial" w:hAnsi="Arial" w:cs="Arial"/>
      <w:kern w:val="1"/>
      <w:sz w:val="24"/>
    </w:rPr>
  </w:style>
  <w:style w:type="paragraph" w:styleId="50">
    <w:name w:val="Title"/>
    <w:next w:val="1"/>
    <w:link w:val="89"/>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51">
    <w:name w:val="annotation subject"/>
    <w:basedOn w:val="16"/>
    <w:next w:val="16"/>
    <w:link w:val="90"/>
    <w:qFormat/>
    <w:uiPriority w:val="0"/>
    <w:rPr>
      <w:b/>
      <w:bCs/>
    </w:rPr>
  </w:style>
  <w:style w:type="paragraph" w:styleId="52">
    <w:name w:val="Body Text First Indent"/>
    <w:basedOn w:val="19"/>
    <w:qFormat/>
    <w:uiPriority w:val="0"/>
    <w:pPr>
      <w:spacing w:after="120" w:line="240" w:lineRule="auto"/>
      <w:ind w:firstLine="420" w:firstLineChars="100"/>
    </w:pPr>
    <w:rPr>
      <w:sz w:val="21"/>
      <w:szCs w:val="24"/>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rFonts w:ascii="Arial Black" w:hAnsi="Arial Black" w:eastAsia="黑体"/>
      <w:b/>
      <w:spacing w:val="0"/>
      <w:sz w:val="21"/>
      <w:lang w:eastAsia="zh-CN"/>
    </w:rPr>
  </w:style>
  <w:style w:type="character" w:styleId="60">
    <w:name w:val="Hyperlink"/>
    <w:qFormat/>
    <w:uiPriority w:val="99"/>
    <w:rPr>
      <w:color w:val="0000FF"/>
      <w:u w:val="single"/>
    </w:rPr>
  </w:style>
  <w:style w:type="character" w:styleId="61">
    <w:name w:val="annotation reference"/>
    <w:qFormat/>
    <w:uiPriority w:val="99"/>
    <w:rPr>
      <w:sz w:val="21"/>
      <w:szCs w:val="21"/>
    </w:rPr>
  </w:style>
  <w:style w:type="paragraph" w:customStyle="1" w:styleId="6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标题 1 字符"/>
    <w:link w:val="2"/>
    <w:qFormat/>
    <w:uiPriority w:val="0"/>
    <w:rPr>
      <w:rFonts w:eastAsia="宋体"/>
      <w:b/>
      <w:bCs/>
      <w:kern w:val="44"/>
      <w:sz w:val="32"/>
      <w:szCs w:val="44"/>
      <w:lang w:val="en-US" w:eastAsia="zh-CN" w:bidi="ar-SA"/>
    </w:rPr>
  </w:style>
  <w:style w:type="character" w:customStyle="1" w:styleId="64">
    <w:name w:val="标题 2 字符"/>
    <w:link w:val="3"/>
    <w:qFormat/>
    <w:uiPriority w:val="0"/>
    <w:rPr>
      <w:rFonts w:ascii="Arial" w:hAnsi="Arial" w:eastAsia="黑体"/>
      <w:b/>
      <w:bCs/>
      <w:kern w:val="2"/>
      <w:sz w:val="32"/>
      <w:szCs w:val="32"/>
      <w:lang w:val="en-US" w:eastAsia="zh-CN" w:bidi="ar-SA"/>
    </w:rPr>
  </w:style>
  <w:style w:type="character" w:customStyle="1" w:styleId="65">
    <w:name w:val="标题 3 字符1"/>
    <w:link w:val="4"/>
    <w:qFormat/>
    <w:uiPriority w:val="0"/>
    <w:rPr>
      <w:rFonts w:eastAsia="宋体"/>
      <w:b/>
      <w:bCs/>
      <w:kern w:val="2"/>
      <w:sz w:val="32"/>
      <w:szCs w:val="32"/>
      <w:lang w:val="en-US" w:eastAsia="zh-CN" w:bidi="ar-SA"/>
    </w:rPr>
  </w:style>
  <w:style w:type="character" w:customStyle="1" w:styleId="66">
    <w:name w:val="标题 4 字符"/>
    <w:link w:val="5"/>
    <w:qFormat/>
    <w:uiPriority w:val="0"/>
    <w:rPr>
      <w:rFonts w:ascii="Arial" w:hAnsi="Arial" w:eastAsia="黑体"/>
      <w:b/>
      <w:bCs/>
      <w:kern w:val="2"/>
      <w:sz w:val="28"/>
      <w:szCs w:val="28"/>
    </w:rPr>
  </w:style>
  <w:style w:type="character" w:customStyle="1" w:styleId="67">
    <w:name w:val="标题 5 字符"/>
    <w:link w:val="6"/>
    <w:qFormat/>
    <w:uiPriority w:val="0"/>
    <w:rPr>
      <w:b/>
      <w:bCs/>
      <w:sz w:val="28"/>
      <w:szCs w:val="28"/>
      <w:lang w:val="en-US" w:eastAsia="zh-CN" w:bidi="ar-SA"/>
    </w:rPr>
  </w:style>
  <w:style w:type="character" w:customStyle="1" w:styleId="68">
    <w:name w:val="标题 6 字符"/>
    <w:link w:val="7"/>
    <w:qFormat/>
    <w:uiPriority w:val="0"/>
    <w:rPr>
      <w:rFonts w:ascii="Arial" w:hAnsi="Arial" w:eastAsia="黑体"/>
      <w:b/>
      <w:bCs/>
      <w:sz w:val="24"/>
    </w:rPr>
  </w:style>
  <w:style w:type="character" w:customStyle="1" w:styleId="69">
    <w:name w:val="标题 7 字符"/>
    <w:link w:val="8"/>
    <w:qFormat/>
    <w:uiPriority w:val="0"/>
    <w:rPr>
      <w:b/>
      <w:bCs/>
      <w:sz w:val="24"/>
    </w:rPr>
  </w:style>
  <w:style w:type="character" w:customStyle="1" w:styleId="70">
    <w:name w:val="标题 8 字符"/>
    <w:link w:val="9"/>
    <w:qFormat/>
    <w:uiPriority w:val="0"/>
    <w:rPr>
      <w:rFonts w:ascii="Arial" w:hAnsi="Arial" w:eastAsia="黑体"/>
      <w:sz w:val="24"/>
    </w:rPr>
  </w:style>
  <w:style w:type="character" w:customStyle="1" w:styleId="71">
    <w:name w:val="标题 9 字符"/>
    <w:link w:val="10"/>
    <w:qFormat/>
    <w:uiPriority w:val="0"/>
    <w:rPr>
      <w:rFonts w:ascii="Arial" w:hAnsi="Arial" w:eastAsia="黑体"/>
      <w:szCs w:val="21"/>
    </w:rPr>
  </w:style>
  <w:style w:type="character" w:customStyle="1" w:styleId="72">
    <w:name w:val="正文缩进 字符"/>
    <w:link w:val="13"/>
    <w:qFormat/>
    <w:uiPriority w:val="0"/>
    <w:rPr>
      <w:kern w:val="2"/>
      <w:sz w:val="21"/>
    </w:rPr>
  </w:style>
  <w:style w:type="character" w:customStyle="1" w:styleId="73">
    <w:name w:val="文档结构图 字符"/>
    <w:link w:val="15"/>
    <w:qFormat/>
    <w:uiPriority w:val="0"/>
    <w:rPr>
      <w:kern w:val="2"/>
      <w:sz w:val="21"/>
      <w:szCs w:val="24"/>
      <w:shd w:val="clear" w:color="auto" w:fill="000080"/>
    </w:rPr>
  </w:style>
  <w:style w:type="character" w:customStyle="1" w:styleId="74">
    <w:name w:val="批注文字 字符"/>
    <w:link w:val="16"/>
    <w:qFormat/>
    <w:uiPriority w:val="99"/>
    <w:rPr>
      <w:kern w:val="2"/>
      <w:sz w:val="21"/>
      <w:szCs w:val="24"/>
    </w:rPr>
  </w:style>
  <w:style w:type="character" w:customStyle="1" w:styleId="75">
    <w:name w:val="称呼 字符"/>
    <w:link w:val="17"/>
    <w:qFormat/>
    <w:uiPriority w:val="0"/>
    <w:rPr>
      <w:kern w:val="2"/>
      <w:sz w:val="28"/>
    </w:rPr>
  </w:style>
  <w:style w:type="character" w:customStyle="1" w:styleId="76">
    <w:name w:val="正文文本 3 字符"/>
    <w:link w:val="18"/>
    <w:qFormat/>
    <w:uiPriority w:val="0"/>
    <w:rPr>
      <w:rFonts w:ascii="美黑" w:eastAsia="美黑"/>
      <w:color w:val="000000"/>
      <w:kern w:val="2"/>
      <w:sz w:val="21"/>
    </w:rPr>
  </w:style>
  <w:style w:type="character" w:customStyle="1" w:styleId="77">
    <w:name w:val="正文文本 字符"/>
    <w:link w:val="19"/>
    <w:qFormat/>
    <w:uiPriority w:val="0"/>
    <w:rPr>
      <w:kern w:val="2"/>
      <w:sz w:val="28"/>
    </w:rPr>
  </w:style>
  <w:style w:type="character" w:customStyle="1" w:styleId="78">
    <w:name w:val="正文文本缩进 字符1"/>
    <w:link w:val="20"/>
    <w:qFormat/>
    <w:uiPriority w:val="0"/>
    <w:rPr>
      <w:kern w:val="2"/>
      <w:sz w:val="28"/>
    </w:rPr>
  </w:style>
  <w:style w:type="character" w:customStyle="1" w:styleId="79">
    <w:name w:val="纯文本 字符"/>
    <w:link w:val="28"/>
    <w:qFormat/>
    <w:uiPriority w:val="0"/>
    <w:rPr>
      <w:rFonts w:ascii="宋体" w:hAnsi="Courier New"/>
      <w:kern w:val="2"/>
      <w:sz w:val="21"/>
    </w:rPr>
  </w:style>
  <w:style w:type="character" w:customStyle="1" w:styleId="80">
    <w:name w:val="日期 字符"/>
    <w:link w:val="30"/>
    <w:qFormat/>
    <w:uiPriority w:val="0"/>
    <w:rPr>
      <w:rFonts w:ascii="宋体"/>
      <w:kern w:val="2"/>
      <w:sz w:val="28"/>
    </w:rPr>
  </w:style>
  <w:style w:type="character" w:customStyle="1" w:styleId="81">
    <w:name w:val="正文文本缩进 2 字符"/>
    <w:link w:val="31"/>
    <w:qFormat/>
    <w:uiPriority w:val="0"/>
    <w:rPr>
      <w:kern w:val="2"/>
      <w:sz w:val="28"/>
    </w:rPr>
  </w:style>
  <w:style w:type="character" w:customStyle="1" w:styleId="82">
    <w:name w:val="批注框文本 字符"/>
    <w:link w:val="32"/>
    <w:qFormat/>
    <w:uiPriority w:val="0"/>
    <w:rPr>
      <w:kern w:val="2"/>
      <w:sz w:val="18"/>
      <w:szCs w:val="18"/>
    </w:rPr>
  </w:style>
  <w:style w:type="character" w:customStyle="1" w:styleId="83">
    <w:name w:val="页脚 字符1"/>
    <w:link w:val="33"/>
    <w:qFormat/>
    <w:uiPriority w:val="99"/>
    <w:rPr>
      <w:kern w:val="2"/>
      <w:sz w:val="18"/>
      <w:szCs w:val="18"/>
    </w:rPr>
  </w:style>
  <w:style w:type="character" w:customStyle="1" w:styleId="84">
    <w:name w:val="页眉 字符"/>
    <w:link w:val="34"/>
    <w:qFormat/>
    <w:uiPriority w:val="0"/>
    <w:rPr>
      <w:kern w:val="2"/>
      <w:sz w:val="18"/>
      <w:szCs w:val="18"/>
    </w:rPr>
  </w:style>
  <w:style w:type="character" w:customStyle="1" w:styleId="85">
    <w:name w:val="副标题 字符1"/>
    <w:link w:val="38"/>
    <w:qFormat/>
    <w:uiPriority w:val="0"/>
    <w:rPr>
      <w:kern w:val="2"/>
      <w:sz w:val="18"/>
      <w:szCs w:val="18"/>
    </w:rPr>
  </w:style>
  <w:style w:type="character" w:customStyle="1" w:styleId="86">
    <w:name w:val="正文文本缩进 3 字符"/>
    <w:link w:val="42"/>
    <w:qFormat/>
    <w:uiPriority w:val="0"/>
    <w:rPr>
      <w:rFonts w:ascii="宋体"/>
      <w:sz w:val="21"/>
    </w:rPr>
  </w:style>
  <w:style w:type="character" w:customStyle="1" w:styleId="87">
    <w:name w:val="正文文本 2 字符"/>
    <w:link w:val="45"/>
    <w:qFormat/>
    <w:uiPriority w:val="0"/>
    <w:rPr>
      <w:kern w:val="2"/>
      <w:sz w:val="24"/>
    </w:rPr>
  </w:style>
  <w:style w:type="character" w:customStyle="1" w:styleId="88">
    <w:name w:val="HTML 预设格式 字符1"/>
    <w:link w:val="47"/>
    <w:qFormat/>
    <w:uiPriority w:val="0"/>
    <w:rPr>
      <w:rFonts w:ascii="黑体" w:hAnsi="Courier New" w:eastAsia="黑体" w:cs="Courier New"/>
    </w:rPr>
  </w:style>
  <w:style w:type="character" w:customStyle="1" w:styleId="89">
    <w:name w:val="标题 字符"/>
    <w:link w:val="50"/>
    <w:qFormat/>
    <w:uiPriority w:val="0"/>
    <w:rPr>
      <w:rFonts w:ascii="Cambria" w:hAnsi="Cambria"/>
      <w:b/>
      <w:bCs/>
      <w:kern w:val="2"/>
      <w:sz w:val="32"/>
      <w:szCs w:val="32"/>
    </w:rPr>
  </w:style>
  <w:style w:type="character" w:customStyle="1" w:styleId="90">
    <w:name w:val="批注主题 字符"/>
    <w:link w:val="51"/>
    <w:qFormat/>
    <w:uiPriority w:val="0"/>
    <w:rPr>
      <w:b/>
      <w:bCs/>
      <w:kern w:val="2"/>
      <w:sz w:val="21"/>
      <w:szCs w:val="24"/>
    </w:rPr>
  </w:style>
  <w:style w:type="character" w:customStyle="1" w:styleId="91">
    <w:name w:val="英文"/>
    <w:qFormat/>
    <w:uiPriority w:val="0"/>
    <w:rPr>
      <w:rFonts w:ascii="Lucida Fax" w:hAnsi="Lucida Fax" w:cs="Times New Roman"/>
      <w:b/>
      <w:bCs/>
    </w:rPr>
  </w:style>
  <w:style w:type="character" w:customStyle="1" w:styleId="92">
    <w:name w:val=" Char Char10"/>
    <w:qFormat/>
    <w:uiPriority w:val="0"/>
    <w:rPr>
      <w:rFonts w:ascii="宋体" w:hAnsi="宋体" w:eastAsia="宋体" w:cs="Courier New"/>
      <w:kern w:val="1"/>
      <w:sz w:val="24"/>
      <w:szCs w:val="24"/>
      <w:lang w:val="en-US" w:eastAsia="zh-CN" w:bidi="ar-SA"/>
    </w:rPr>
  </w:style>
  <w:style w:type="character" w:customStyle="1" w:styleId="93">
    <w:name w:val="页脚 字符"/>
    <w:qFormat/>
    <w:uiPriority w:val="99"/>
  </w:style>
  <w:style w:type="character" w:customStyle="1" w:styleId="94">
    <w:name w:val="WW8Num1z0"/>
    <w:qFormat/>
    <w:uiPriority w:val="0"/>
    <w:rPr>
      <w:rFonts w:hint="default" w:ascii="仿宋_GB2312" w:hAnsi="仿宋_GB2312" w:eastAsia="仿宋_GB2312" w:cs="宋体"/>
      <w:kern w:val="1"/>
      <w:szCs w:val="21"/>
    </w:rPr>
  </w:style>
  <w:style w:type="character" w:customStyle="1" w:styleId="95">
    <w:name w:val="Default Char"/>
    <w:qFormat/>
    <w:uiPriority w:val="0"/>
    <w:rPr>
      <w:rFonts w:ascii="宋体" w:eastAsia="宋体"/>
      <w:color w:val="000000"/>
      <w:sz w:val="24"/>
      <w:lang w:val="en-US" w:eastAsia="zh-CN"/>
    </w:rPr>
  </w:style>
  <w:style w:type="character" w:customStyle="1" w:styleId="96">
    <w:name w:val="111"/>
    <w:qFormat/>
    <w:uiPriority w:val="0"/>
  </w:style>
  <w:style w:type="character" w:customStyle="1" w:styleId="97">
    <w:name w:val="highlight1"/>
    <w:qFormat/>
    <w:uiPriority w:val="0"/>
    <w:rPr>
      <w:sz w:val="21"/>
      <w:szCs w:val="21"/>
    </w:rPr>
  </w:style>
  <w:style w:type="character" w:customStyle="1" w:styleId="98">
    <w:name w:val="样式 Char Char"/>
    <w:qFormat/>
    <w:uiPriority w:val="99"/>
    <w:rPr>
      <w:rFonts w:ascii="宋体" w:hAnsi="宋体" w:cs="宋体"/>
      <w:sz w:val="24"/>
      <w:szCs w:val="24"/>
      <w:lang w:val="en-US" w:eastAsia="zh-CN" w:bidi="ar-SA"/>
    </w:rPr>
  </w:style>
  <w:style w:type="character" w:customStyle="1" w:styleId="99">
    <w:name w:val="正文文本 Char1"/>
    <w:qFormat/>
    <w:uiPriority w:val="0"/>
    <w:rPr>
      <w:kern w:val="2"/>
      <w:sz w:val="21"/>
      <w:szCs w:val="22"/>
    </w:rPr>
  </w:style>
  <w:style w:type="character" w:customStyle="1" w:styleId="100">
    <w:name w:val=" Char Char15"/>
    <w:qFormat/>
    <w:uiPriority w:val="0"/>
    <w:rPr>
      <w:rFonts w:ascii="Arial" w:hAnsi="Arial" w:eastAsia="宋体"/>
      <w:b/>
      <w:bCs/>
      <w:kern w:val="2"/>
      <w:sz w:val="21"/>
      <w:szCs w:val="28"/>
      <w:lang w:val="en-US" w:eastAsia="zh-CN" w:bidi="ar-SA"/>
    </w:rPr>
  </w:style>
  <w:style w:type="character" w:customStyle="1" w:styleId="101">
    <w:name w:val="标题5 Char Char"/>
    <w:link w:val="102"/>
    <w:qFormat/>
    <w:uiPriority w:val="0"/>
    <w:rPr>
      <w:rFonts w:ascii="Arial" w:hAnsi="Arial"/>
      <w:b/>
      <w:bCs/>
      <w:sz w:val="24"/>
      <w:szCs w:val="32"/>
    </w:rPr>
  </w:style>
  <w:style w:type="paragraph" w:customStyle="1" w:styleId="102">
    <w:name w:val="标题5"/>
    <w:basedOn w:val="4"/>
    <w:link w:val="101"/>
    <w:qFormat/>
    <w:uiPriority w:val="0"/>
    <w:pPr>
      <w:spacing w:line="413" w:lineRule="auto"/>
    </w:pPr>
    <w:rPr>
      <w:rFonts w:ascii="Arial" w:hAnsi="Arial"/>
      <w:kern w:val="0"/>
      <w:sz w:val="24"/>
    </w:rPr>
  </w:style>
  <w:style w:type="character" w:customStyle="1" w:styleId="103">
    <w:name w:val="h3 Char1"/>
    <w:qFormat/>
    <w:uiPriority w:val="0"/>
    <w:rPr>
      <w:rFonts w:eastAsia="宋体"/>
      <w:b/>
      <w:bCs/>
      <w:kern w:val="2"/>
      <w:sz w:val="32"/>
      <w:szCs w:val="32"/>
      <w:lang w:val="en-US" w:eastAsia="zh-CN" w:bidi="ar-SA"/>
    </w:rPr>
  </w:style>
  <w:style w:type="character" w:customStyle="1" w:styleId="104">
    <w:name w:val="WW8Num2z0"/>
    <w:qFormat/>
    <w:uiPriority w:val="0"/>
    <w:rPr>
      <w:rFonts w:hint="eastAsia" w:cs="Times New Roman"/>
    </w:rPr>
  </w:style>
  <w:style w:type="character" w:customStyle="1" w:styleId="105">
    <w:name w:val="ca-2"/>
    <w:qFormat/>
    <w:uiPriority w:val="0"/>
  </w:style>
  <w:style w:type="character" w:customStyle="1" w:styleId="106">
    <w:name w:val="引用 字符"/>
    <w:qFormat/>
    <w:uiPriority w:val="99"/>
    <w:rPr>
      <w:i/>
      <w:iCs/>
      <w:color w:val="404040"/>
      <w:kern w:val="2"/>
      <w:sz w:val="21"/>
      <w:szCs w:val="24"/>
    </w:rPr>
  </w:style>
  <w:style w:type="character" w:customStyle="1" w:styleId="107">
    <w:name w:val="tdrownotice1"/>
    <w:qFormat/>
    <w:uiPriority w:val="0"/>
    <w:rPr>
      <w:sz w:val="22"/>
      <w:szCs w:val="22"/>
    </w:rPr>
  </w:style>
  <w:style w:type="character" w:customStyle="1" w:styleId="108">
    <w:name w:val="h3 Char2"/>
    <w:qFormat/>
    <w:uiPriority w:val="0"/>
    <w:rPr>
      <w:rFonts w:eastAsia="宋体"/>
      <w:b/>
      <w:bCs/>
      <w:kern w:val="2"/>
      <w:sz w:val="24"/>
      <w:szCs w:val="32"/>
      <w:lang w:val="en-US" w:eastAsia="zh-CN" w:bidi="ar-SA"/>
    </w:rPr>
  </w:style>
  <w:style w:type="character" w:customStyle="1" w:styleId="109">
    <w:name w:val="明显引用 Char1"/>
    <w:qFormat/>
    <w:uiPriority w:val="30"/>
    <w:rPr>
      <w:i/>
      <w:iCs/>
      <w:color w:val="5B9BD5"/>
      <w:kern w:val="2"/>
      <w:sz w:val="24"/>
      <w:szCs w:val="24"/>
    </w:rPr>
  </w:style>
  <w:style w:type="character" w:customStyle="1" w:styleId="110">
    <w:name w:val="副标题 字符"/>
    <w:qFormat/>
    <w:uiPriority w:val="0"/>
    <w:rPr>
      <w:rFonts w:ascii="等线 Light" w:hAnsi="等线 Light" w:cs="Times New Roman"/>
      <w:b/>
      <w:bCs/>
      <w:kern w:val="28"/>
      <w:sz w:val="32"/>
      <w:szCs w:val="32"/>
    </w:rPr>
  </w:style>
  <w:style w:type="character" w:customStyle="1" w:styleId="111">
    <w:name w:val="正文 + 宋体 Char"/>
    <w:link w:val="112"/>
    <w:qFormat/>
    <w:uiPriority w:val="0"/>
    <w:rPr>
      <w:rFonts w:hAnsi="Courier New" w:eastAsia="宋体"/>
      <w:sz w:val="21"/>
      <w:lang w:val="en-US" w:eastAsia="zh-CN" w:bidi="ar-SA"/>
    </w:rPr>
  </w:style>
  <w:style w:type="paragraph" w:customStyle="1" w:styleId="112">
    <w:name w:val="正文 + 宋体"/>
    <w:basedOn w:val="1"/>
    <w:link w:val="111"/>
    <w:qFormat/>
    <w:uiPriority w:val="0"/>
    <w:pPr>
      <w:tabs>
        <w:tab w:val="left" w:pos="8280"/>
      </w:tabs>
      <w:autoSpaceDE w:val="0"/>
      <w:autoSpaceDN w:val="0"/>
      <w:adjustRightInd w:val="0"/>
      <w:ind w:left="4282" w:right="-20"/>
      <w:jc w:val="left"/>
    </w:pPr>
    <w:rPr>
      <w:rFonts w:hAnsi="Courier New"/>
      <w:kern w:val="0"/>
      <w:szCs w:val="20"/>
    </w:rPr>
  </w:style>
  <w:style w:type="character" w:customStyle="1" w:styleId="113">
    <w:name w:val="H1 Char"/>
    <w:qFormat/>
    <w:uiPriority w:val="0"/>
    <w:rPr>
      <w:rFonts w:eastAsia="宋体"/>
      <w:b/>
      <w:bCs/>
      <w:kern w:val="44"/>
      <w:sz w:val="32"/>
      <w:szCs w:val="44"/>
      <w:lang w:val="en-US" w:eastAsia="zh-CN" w:bidi="ar-SA"/>
    </w:rPr>
  </w:style>
  <w:style w:type="character" w:customStyle="1" w:styleId="114">
    <w:name w:val="h3 Char"/>
    <w:qFormat/>
    <w:uiPriority w:val="0"/>
    <w:rPr>
      <w:rFonts w:ascii="Times New Roman" w:hAnsi="Times New Roman" w:eastAsia="宋体" w:cs="Times New Roman"/>
      <w:b/>
      <w:bCs/>
      <w:sz w:val="32"/>
      <w:szCs w:val="32"/>
    </w:rPr>
  </w:style>
  <w:style w:type="character" w:customStyle="1" w:styleId="115">
    <w:name w:val="f142"/>
    <w:qFormat/>
    <w:uiPriority w:val="0"/>
    <w:rPr>
      <w:sz w:val="26"/>
      <w:szCs w:val="26"/>
    </w:rPr>
  </w:style>
  <w:style w:type="character" w:customStyle="1" w:styleId="116">
    <w:name w:val="副标题 Char1"/>
    <w:qFormat/>
    <w:uiPriority w:val="0"/>
    <w:rPr>
      <w:rFonts w:ascii="Calibri Light" w:hAnsi="Calibri Light" w:cs="Times New Roman"/>
      <w:b/>
      <w:bCs/>
      <w:kern w:val="28"/>
      <w:sz w:val="32"/>
      <w:szCs w:val="32"/>
    </w:rPr>
  </w:style>
  <w:style w:type="character" w:customStyle="1" w:styleId="117">
    <w:name w:val="批注文字 Char"/>
    <w:qFormat/>
    <w:uiPriority w:val="99"/>
    <w:rPr>
      <w:kern w:val="2"/>
      <w:sz w:val="21"/>
      <w:szCs w:val="24"/>
    </w:rPr>
  </w:style>
  <w:style w:type="character" w:customStyle="1" w:styleId="118">
    <w:name w:val="无格式表格 31"/>
    <w:qFormat/>
    <w:uiPriority w:val="0"/>
    <w:rPr>
      <w:i/>
      <w:iCs/>
      <w:color w:val="808080"/>
    </w:rPr>
  </w:style>
  <w:style w:type="character" w:customStyle="1" w:styleId="119">
    <w:name w:val="正文文本缩进 字符"/>
    <w:qFormat/>
    <w:uiPriority w:val="0"/>
    <w:rPr>
      <w:kern w:val="2"/>
      <w:sz w:val="28"/>
    </w:rPr>
  </w:style>
  <w:style w:type="character" w:customStyle="1" w:styleId="120">
    <w:name w:val="无格式表格 41"/>
    <w:qFormat/>
    <w:uiPriority w:val="0"/>
    <w:rPr>
      <w:b/>
      <w:bCs/>
      <w:i/>
      <w:iCs/>
      <w:color w:val="4F81BD"/>
    </w:rPr>
  </w:style>
  <w:style w:type="character" w:customStyle="1" w:styleId="121">
    <w:name w:val="gonggao-downline1"/>
    <w:qFormat/>
    <w:uiPriority w:val="0"/>
    <w:rPr>
      <w:b/>
      <w:bCs/>
      <w:u w:val="single"/>
    </w:rPr>
  </w:style>
  <w:style w:type="character" w:customStyle="1" w:styleId="122">
    <w:name w:val="Char Char7"/>
    <w:qFormat/>
    <w:locked/>
    <w:uiPriority w:val="0"/>
    <w:rPr>
      <w:rFonts w:ascii="宋体" w:hAnsi="宋体" w:eastAsia="宋体"/>
      <w:kern w:val="2"/>
      <w:sz w:val="21"/>
      <w:szCs w:val="24"/>
      <w:lang w:val="en-US" w:eastAsia="zh-CN" w:bidi="ar-SA"/>
    </w:rPr>
  </w:style>
  <w:style w:type="character" w:customStyle="1" w:styleId="123">
    <w:name w:val="WW8Num2z3"/>
    <w:qFormat/>
    <w:uiPriority w:val="0"/>
    <w:rPr>
      <w:rFonts w:cs="Times New Roman"/>
    </w:rPr>
  </w:style>
  <w:style w:type="character" w:customStyle="1" w:styleId="124">
    <w:name w:val="Header Char"/>
    <w:semiHidden/>
    <w:qFormat/>
    <w:locked/>
    <w:uiPriority w:val="0"/>
    <w:rPr>
      <w:rFonts w:cs="Times New Roman"/>
      <w:sz w:val="18"/>
      <w:szCs w:val="18"/>
    </w:rPr>
  </w:style>
  <w:style w:type="character" w:customStyle="1" w:styleId="125">
    <w:name w:val="批注主题 Char1"/>
    <w:qFormat/>
    <w:uiPriority w:val="0"/>
    <w:rPr>
      <w:b/>
      <w:bCs/>
      <w:kern w:val="2"/>
      <w:sz w:val="21"/>
      <w:szCs w:val="22"/>
    </w:rPr>
  </w:style>
  <w:style w:type="character" w:customStyle="1" w:styleId="126">
    <w:name w:val="样式 Char"/>
    <w:link w:val="127"/>
    <w:qFormat/>
    <w:uiPriority w:val="0"/>
    <w:rPr>
      <w:rFonts w:ascii="宋体" w:hAnsi="宋体"/>
      <w:sz w:val="24"/>
      <w:lang w:val="en-US" w:eastAsia="zh-CN" w:bidi="ar-SA"/>
    </w:rPr>
  </w:style>
  <w:style w:type="paragraph" w:customStyle="1" w:styleId="127">
    <w:name w:val="样式"/>
    <w:link w:val="126"/>
    <w:qFormat/>
    <w:uiPriority w:val="99"/>
    <w:pPr>
      <w:widowControl w:val="0"/>
      <w:autoSpaceDE w:val="0"/>
      <w:autoSpaceDN w:val="0"/>
      <w:adjustRightInd w:val="0"/>
    </w:pPr>
    <w:rPr>
      <w:rFonts w:ascii="宋体" w:hAnsi="宋体" w:eastAsia="宋体" w:cs="Times New Roman"/>
      <w:sz w:val="24"/>
      <w:lang w:val="en-US" w:eastAsia="zh-CN" w:bidi="ar-SA"/>
    </w:rPr>
  </w:style>
  <w:style w:type="character" w:customStyle="1" w:styleId="128">
    <w:name w:val="标题 1 Char"/>
    <w:qFormat/>
    <w:uiPriority w:val="0"/>
    <w:rPr>
      <w:rFonts w:eastAsia="宋体"/>
      <w:b/>
      <w:bCs/>
      <w:kern w:val="44"/>
      <w:sz w:val="44"/>
      <w:szCs w:val="44"/>
      <w:lang w:val="en-US" w:eastAsia="zh-CN" w:bidi="ar-SA"/>
    </w:rPr>
  </w:style>
  <w:style w:type="character" w:customStyle="1" w:styleId="129">
    <w:name w:val="Char Char9"/>
    <w:qFormat/>
    <w:uiPriority w:val="0"/>
    <w:rPr>
      <w:rFonts w:eastAsia="宋体"/>
      <w:b/>
      <w:bCs/>
      <w:kern w:val="2"/>
      <w:sz w:val="24"/>
      <w:szCs w:val="32"/>
      <w:lang w:val="en-US" w:eastAsia="zh-CN" w:bidi="ar-SA"/>
    </w:rPr>
  </w:style>
  <w:style w:type="character" w:customStyle="1" w:styleId="130">
    <w:name w:val=" Char Char"/>
    <w:qFormat/>
    <w:uiPriority w:val="0"/>
    <w:rPr>
      <w:rFonts w:ascii="Arial" w:hAnsi="Arial" w:eastAsia="黑体"/>
      <w:b/>
      <w:kern w:val="2"/>
      <w:sz w:val="32"/>
      <w:lang w:val="en-US" w:eastAsia="zh-CN"/>
    </w:rPr>
  </w:style>
  <w:style w:type="character" w:customStyle="1" w:styleId="131">
    <w:name w:val=" Char Char4"/>
    <w:qFormat/>
    <w:uiPriority w:val="0"/>
    <w:rPr>
      <w:rFonts w:eastAsia="宋体"/>
      <w:kern w:val="2"/>
      <w:sz w:val="18"/>
      <w:szCs w:val="18"/>
      <w:lang w:val="en-US" w:eastAsia="zh-CN" w:bidi="ar-SA"/>
    </w:rPr>
  </w:style>
  <w:style w:type="character" w:customStyle="1" w:styleId="132">
    <w:name w:val="表中文字 Char"/>
    <w:qFormat/>
    <w:uiPriority w:val="0"/>
    <w:rPr>
      <w:rFonts w:eastAsia="宋体"/>
      <w:kern w:val="2"/>
      <w:sz w:val="21"/>
      <w:szCs w:val="24"/>
      <w:lang w:val="en-US" w:eastAsia="zh-CN" w:bidi="ar-SA"/>
    </w:rPr>
  </w:style>
  <w:style w:type="character" w:customStyle="1" w:styleId="133">
    <w:name w:val="网格型浅色1"/>
    <w:qFormat/>
    <w:uiPriority w:val="0"/>
    <w:rPr>
      <w:b/>
      <w:bCs/>
      <w:smallCaps/>
      <w:color w:val="C0504D"/>
      <w:spacing w:val="5"/>
      <w:u w:val="single"/>
    </w:rPr>
  </w:style>
  <w:style w:type="character" w:customStyle="1" w:styleId="134">
    <w:name w:val="标题 3 字符"/>
    <w:qFormat/>
    <w:uiPriority w:val="0"/>
    <w:rPr>
      <w:rFonts w:eastAsia="宋体"/>
      <w:b/>
      <w:bCs/>
      <w:kern w:val="2"/>
      <w:sz w:val="32"/>
      <w:szCs w:val="32"/>
      <w:lang w:val="en-US" w:eastAsia="zh-CN" w:bidi="ar-SA"/>
    </w:rPr>
  </w:style>
  <w:style w:type="character" w:customStyle="1" w:styleId="135">
    <w:name w:val="网格表 1 浅色1"/>
    <w:qFormat/>
    <w:uiPriority w:val="0"/>
    <w:rPr>
      <w:b/>
      <w:bCs/>
      <w:smallCaps/>
      <w:spacing w:val="5"/>
    </w:rPr>
  </w:style>
  <w:style w:type="character" w:customStyle="1" w:styleId="136">
    <w:name w:val="正文文本 3 Char1"/>
    <w:qFormat/>
    <w:uiPriority w:val="0"/>
    <w:rPr>
      <w:kern w:val="1"/>
      <w:sz w:val="16"/>
      <w:szCs w:val="16"/>
    </w:rPr>
  </w:style>
  <w:style w:type="character" w:customStyle="1" w:styleId="137">
    <w:name w:val="正文标题23下 Char"/>
    <w:link w:val="138"/>
    <w:qFormat/>
    <w:uiPriority w:val="0"/>
    <w:rPr>
      <w:rFonts w:ascii="仿宋_GB2312" w:eastAsia="仿宋_GB2312"/>
      <w:kern w:val="10"/>
      <w:sz w:val="28"/>
      <w:szCs w:val="28"/>
    </w:rPr>
  </w:style>
  <w:style w:type="paragraph" w:customStyle="1" w:styleId="138">
    <w:name w:val="正文标题23下"/>
    <w:basedOn w:val="1"/>
    <w:link w:val="137"/>
    <w:qFormat/>
    <w:uiPriority w:val="0"/>
    <w:pPr>
      <w:spacing w:before="156" w:beforeLines="50" w:line="360" w:lineRule="auto"/>
      <w:ind w:left="540" w:leftChars="257" w:firstLine="538" w:firstLineChars="192"/>
    </w:pPr>
    <w:rPr>
      <w:rFonts w:ascii="仿宋_GB2312" w:eastAsia="仿宋_GB2312"/>
      <w:kern w:val="10"/>
      <w:sz w:val="28"/>
      <w:szCs w:val="28"/>
    </w:rPr>
  </w:style>
  <w:style w:type="character" w:customStyle="1" w:styleId="139">
    <w:name w:val=" Char Char1"/>
    <w:qFormat/>
    <w:uiPriority w:val="0"/>
    <w:rPr>
      <w:rFonts w:ascii="宋体" w:eastAsia="宋体"/>
      <w:sz w:val="22"/>
      <w:lang w:val="en-US" w:eastAsia="zh-CN" w:bidi="ar-SA"/>
    </w:rPr>
  </w:style>
  <w:style w:type="character" w:customStyle="1" w:styleId="140">
    <w:name w:val="javascript"/>
    <w:qFormat/>
    <w:uiPriority w:val="0"/>
  </w:style>
  <w:style w:type="character" w:customStyle="1" w:styleId="141">
    <w:name w:val="明显引用 字符"/>
    <w:qFormat/>
    <w:uiPriority w:val="99"/>
    <w:rPr>
      <w:i/>
      <w:iCs/>
      <w:color w:val="5B9BD5"/>
      <w:kern w:val="2"/>
      <w:sz w:val="21"/>
      <w:szCs w:val="24"/>
    </w:rPr>
  </w:style>
  <w:style w:type="character" w:customStyle="1" w:styleId="142">
    <w:name w:val="HTML Markup"/>
    <w:qFormat/>
    <w:uiPriority w:val="0"/>
    <w:rPr>
      <w:vanish/>
      <w:color w:val="FF0000"/>
    </w:rPr>
  </w:style>
  <w:style w:type="character" w:customStyle="1" w:styleId="143">
    <w:name w:val="1.1 Char"/>
    <w:link w:val="144"/>
    <w:qFormat/>
    <w:uiPriority w:val="0"/>
    <w:rPr>
      <w:rFonts w:eastAsia="黑体"/>
      <w:kern w:val="2"/>
      <w:sz w:val="28"/>
      <w:lang w:val="en-US" w:eastAsia="zh-CN" w:bidi="ar-SA"/>
    </w:rPr>
  </w:style>
  <w:style w:type="paragraph" w:customStyle="1" w:styleId="144">
    <w:name w:val="1.1"/>
    <w:basedOn w:val="1"/>
    <w:link w:val="143"/>
    <w:qFormat/>
    <w:uiPriority w:val="0"/>
    <w:pPr>
      <w:spacing w:line="320" w:lineRule="atLeast"/>
    </w:pPr>
    <w:rPr>
      <w:rFonts w:eastAsia="黑体"/>
      <w:sz w:val="28"/>
      <w:szCs w:val="20"/>
    </w:rPr>
  </w:style>
  <w:style w:type="character" w:customStyle="1" w:styleId="145">
    <w:name w:val=" Char Char9"/>
    <w:qFormat/>
    <w:uiPriority w:val="0"/>
    <w:rPr>
      <w:rFonts w:eastAsia="宋体"/>
      <w:kern w:val="2"/>
      <w:sz w:val="18"/>
      <w:szCs w:val="18"/>
      <w:lang w:val="en-US" w:eastAsia="zh-CN" w:bidi="ar-SA"/>
    </w:rPr>
  </w:style>
  <w:style w:type="character" w:customStyle="1" w:styleId="146">
    <w:name w:val="apple-converted-space"/>
    <w:qFormat/>
    <w:uiPriority w:val="0"/>
  </w:style>
  <w:style w:type="character" w:customStyle="1" w:styleId="147">
    <w:name w:val=" Char Char2"/>
    <w:qFormat/>
    <w:uiPriority w:val="0"/>
    <w:rPr>
      <w:rFonts w:eastAsia="宋体"/>
      <w:kern w:val="2"/>
      <w:sz w:val="21"/>
      <w:szCs w:val="24"/>
      <w:lang w:val="en-US" w:eastAsia="zh-CN" w:bidi="ar-SA"/>
    </w:rPr>
  </w:style>
  <w:style w:type="character" w:customStyle="1" w:styleId="148">
    <w:name w:val="HTML 预设格式 字符"/>
    <w:qFormat/>
    <w:uiPriority w:val="0"/>
    <w:rPr>
      <w:rFonts w:ascii="Courier New" w:hAnsi="Courier New" w:cs="Courier New"/>
      <w:kern w:val="2"/>
    </w:rPr>
  </w:style>
  <w:style w:type="character" w:customStyle="1" w:styleId="149">
    <w:name w:val="Char Char14"/>
    <w:qFormat/>
    <w:uiPriority w:val="0"/>
    <w:rPr>
      <w:rFonts w:eastAsia="宋体"/>
      <w:b/>
      <w:bCs/>
      <w:kern w:val="2"/>
      <w:sz w:val="24"/>
      <w:szCs w:val="32"/>
      <w:lang w:val="en-US" w:eastAsia="zh-CN" w:bidi="ar-SA"/>
    </w:rPr>
  </w:style>
  <w:style w:type="character" w:customStyle="1" w:styleId="150">
    <w:name w:val="引用 Char1"/>
    <w:qFormat/>
    <w:uiPriority w:val="29"/>
    <w:rPr>
      <w:i/>
      <w:iCs/>
      <w:color w:val="404040"/>
      <w:kern w:val="2"/>
      <w:sz w:val="24"/>
      <w:szCs w:val="24"/>
    </w:rPr>
  </w:style>
  <w:style w:type="character" w:customStyle="1" w:styleId="151">
    <w:name w:val="彩色网格 - 着色 1 Char"/>
    <w:link w:val="152"/>
    <w:qFormat/>
    <w:uiPriority w:val="0"/>
    <w:rPr>
      <w:i/>
      <w:iCs/>
      <w:color w:val="000000"/>
      <w:kern w:val="2"/>
      <w:sz w:val="21"/>
      <w:szCs w:val="22"/>
    </w:rPr>
  </w:style>
  <w:style w:type="paragraph" w:customStyle="1" w:styleId="152">
    <w:name w:val="彩色网格 - 着色 11"/>
    <w:basedOn w:val="1"/>
    <w:next w:val="1"/>
    <w:link w:val="151"/>
    <w:qFormat/>
    <w:uiPriority w:val="0"/>
    <w:rPr>
      <w:i/>
      <w:iCs/>
      <w:color w:val="000000"/>
      <w:szCs w:val="22"/>
    </w:rPr>
  </w:style>
  <w:style w:type="character" w:customStyle="1" w:styleId="153">
    <w:name w:val="标题4 Char Char"/>
    <w:link w:val="154"/>
    <w:qFormat/>
    <w:uiPriority w:val="0"/>
    <w:rPr>
      <w:rFonts w:ascii="Arial" w:hAnsi="Arial"/>
      <w:b/>
      <w:bCs/>
      <w:sz w:val="24"/>
      <w:szCs w:val="32"/>
    </w:rPr>
  </w:style>
  <w:style w:type="paragraph" w:customStyle="1" w:styleId="154">
    <w:name w:val="标题4"/>
    <w:basedOn w:val="3"/>
    <w:next w:val="25"/>
    <w:link w:val="153"/>
    <w:qFormat/>
    <w:uiPriority w:val="0"/>
    <w:pPr>
      <w:spacing w:line="413" w:lineRule="auto"/>
    </w:pPr>
    <w:rPr>
      <w:rFonts w:eastAsia="宋体"/>
      <w:kern w:val="0"/>
      <w:sz w:val="24"/>
    </w:rPr>
  </w:style>
  <w:style w:type="character" w:customStyle="1" w:styleId="155">
    <w:name w:val="标题 3 Char Char Char Char Char Char Char Char Char Char Char Char Char Char Char Char Char Char Char Char Char Char"/>
    <w:qFormat/>
    <w:uiPriority w:val="0"/>
    <w:rPr>
      <w:rFonts w:eastAsia="宋体"/>
      <w:b/>
      <w:sz w:val="32"/>
      <w:lang w:val="en-US" w:eastAsia="zh-CN" w:bidi="ar-SA"/>
    </w:rPr>
  </w:style>
  <w:style w:type="character" w:customStyle="1" w:styleId="156">
    <w:name w:val="标题 2 Char Char Char1"/>
    <w:qFormat/>
    <w:uiPriority w:val="0"/>
    <w:rPr>
      <w:rFonts w:ascii="Arial" w:hAnsi="Arial" w:eastAsia="黑体"/>
      <w:b/>
      <w:bCs/>
      <w:kern w:val="2"/>
      <w:sz w:val="32"/>
      <w:szCs w:val="32"/>
      <w:lang w:val="en-US" w:eastAsia="zh-CN" w:bidi="ar-SA"/>
    </w:rPr>
  </w:style>
  <w:style w:type="character" w:customStyle="1" w:styleId="157">
    <w:name w:val="日期 Char1"/>
    <w:qFormat/>
    <w:uiPriority w:val="0"/>
    <w:rPr>
      <w:kern w:val="2"/>
      <w:sz w:val="21"/>
      <w:szCs w:val="22"/>
    </w:rPr>
  </w:style>
  <w:style w:type="character" w:customStyle="1" w:styleId="158">
    <w:name w:val=" Char Char6"/>
    <w:qFormat/>
    <w:uiPriority w:val="0"/>
    <w:rPr>
      <w:rFonts w:eastAsia="宋体"/>
      <w:kern w:val="2"/>
      <w:sz w:val="21"/>
      <w:szCs w:val="24"/>
      <w:lang w:val="en-US" w:eastAsia="zh-CN" w:bidi="ar-SA"/>
    </w:rPr>
  </w:style>
  <w:style w:type="character" w:customStyle="1" w:styleId="159">
    <w:name w:val="readmail_locationtip"/>
    <w:qFormat/>
    <w:uiPriority w:val="0"/>
  </w:style>
  <w:style w:type="character" w:customStyle="1" w:styleId="160">
    <w:name w:val="无格式表格 51"/>
    <w:qFormat/>
    <w:uiPriority w:val="0"/>
    <w:rPr>
      <w:smallCaps/>
      <w:color w:val="C0504D"/>
      <w:u w:val="single"/>
    </w:rPr>
  </w:style>
  <w:style w:type="character" w:customStyle="1" w:styleId="161">
    <w:name w:val="浅色底纹 - 着色 2 Char"/>
    <w:link w:val="162"/>
    <w:qFormat/>
    <w:uiPriority w:val="0"/>
    <w:rPr>
      <w:b/>
      <w:bCs/>
      <w:i/>
      <w:iCs/>
      <w:color w:val="4F81BD"/>
      <w:kern w:val="2"/>
      <w:sz w:val="21"/>
      <w:szCs w:val="22"/>
    </w:rPr>
  </w:style>
  <w:style w:type="paragraph" w:customStyle="1" w:styleId="162">
    <w:name w:val="浅色底纹 - 着色 21"/>
    <w:basedOn w:val="1"/>
    <w:next w:val="1"/>
    <w:link w:val="161"/>
    <w:qFormat/>
    <w:uiPriority w:val="0"/>
    <w:pPr>
      <w:pBdr>
        <w:bottom w:val="single" w:color="4F81BD" w:sz="4" w:space="4"/>
      </w:pBdr>
      <w:spacing w:before="200" w:after="280"/>
      <w:ind w:left="936" w:right="936"/>
    </w:pPr>
    <w:rPr>
      <w:b/>
      <w:bCs/>
      <w:i/>
      <w:iCs/>
      <w:color w:val="4F81BD"/>
      <w:szCs w:val="22"/>
    </w:rPr>
  </w:style>
  <w:style w:type="character" w:customStyle="1" w:styleId="163">
    <w:name w:val="批注文字 Char Char"/>
    <w:qFormat/>
    <w:uiPriority w:val="0"/>
    <w:rPr>
      <w:rFonts w:ascii="宋体" w:hAnsi="Times New Roman" w:eastAsia="宋体" w:cs="Times New Roman"/>
      <w:sz w:val="28"/>
      <w:szCs w:val="20"/>
    </w:rPr>
  </w:style>
  <w:style w:type="character" w:customStyle="1" w:styleId="164">
    <w:name w:val=" Char Char3"/>
    <w:qFormat/>
    <w:uiPriority w:val="0"/>
    <w:rPr>
      <w:rFonts w:eastAsia="宋体"/>
      <w:kern w:val="2"/>
      <w:sz w:val="21"/>
      <w:szCs w:val="24"/>
      <w:lang w:val="en-US" w:eastAsia="zh-CN" w:bidi="ar-SA"/>
    </w:rPr>
  </w:style>
  <w:style w:type="character" w:customStyle="1" w:styleId="165">
    <w:name w:val="15"/>
    <w:qFormat/>
    <w:uiPriority w:val="0"/>
    <w:rPr>
      <w:rFonts w:hint="default" w:ascii="Times New Roman" w:hAnsi="Times New Roman" w:cs="Times New Roman"/>
    </w:rPr>
  </w:style>
  <w:style w:type="character" w:customStyle="1" w:styleId="166">
    <w:name w:val="Char Char8"/>
    <w:qFormat/>
    <w:uiPriority w:val="0"/>
    <w:rPr>
      <w:rFonts w:ascii="Arial" w:hAnsi="Arial" w:eastAsia="宋体"/>
      <w:b/>
      <w:bCs/>
      <w:kern w:val="2"/>
      <w:sz w:val="21"/>
      <w:szCs w:val="28"/>
      <w:lang w:val="en-US" w:eastAsia="zh-CN" w:bidi="ar-SA"/>
    </w:rPr>
  </w:style>
  <w:style w:type="character" w:customStyle="1" w:styleId="167">
    <w:name w:val="文档结构图 Char1"/>
    <w:qFormat/>
    <w:uiPriority w:val="0"/>
    <w:rPr>
      <w:rFonts w:ascii="宋体"/>
      <w:kern w:val="2"/>
      <w:sz w:val="18"/>
      <w:szCs w:val="18"/>
    </w:rPr>
  </w:style>
  <w:style w:type="character" w:customStyle="1" w:styleId="168">
    <w:name w:val="批注框文本 Char1"/>
    <w:qFormat/>
    <w:uiPriority w:val="0"/>
    <w:rPr>
      <w:kern w:val="2"/>
      <w:sz w:val="18"/>
      <w:szCs w:val="18"/>
    </w:rPr>
  </w:style>
  <w:style w:type="character" w:customStyle="1" w:styleId="169">
    <w:name w:val=" Char Char5"/>
    <w:qFormat/>
    <w:uiPriority w:val="0"/>
    <w:rPr>
      <w:rFonts w:eastAsia="宋体"/>
      <w:kern w:val="2"/>
      <w:sz w:val="21"/>
      <w:szCs w:val="24"/>
      <w:lang w:val="en-US" w:eastAsia="zh-CN" w:bidi="ar-SA"/>
    </w:rPr>
  </w:style>
  <w:style w:type="character" w:customStyle="1" w:styleId="170">
    <w:name w:val="WW8Num3z0"/>
    <w:qFormat/>
    <w:uiPriority w:val="0"/>
  </w:style>
  <w:style w:type="character" w:customStyle="1" w:styleId="171">
    <w:name w:val="ca-10"/>
    <w:qFormat/>
    <w:uiPriority w:val="0"/>
  </w:style>
  <w:style w:type="character" w:customStyle="1" w:styleId="172">
    <w:name w:val="标题 2 Char1"/>
    <w:qFormat/>
    <w:uiPriority w:val="0"/>
    <w:rPr>
      <w:rFonts w:ascii="Arial" w:hAnsi="Arial" w:eastAsia="黑体"/>
      <w:b/>
      <w:bCs/>
      <w:kern w:val="2"/>
      <w:sz w:val="32"/>
      <w:szCs w:val="32"/>
      <w:lang w:val="en-US" w:eastAsia="zh-CN" w:bidi="ar-SA"/>
    </w:rPr>
  </w:style>
  <w:style w:type="character" w:customStyle="1" w:styleId="173">
    <w:name w:val="textcontents"/>
    <w:qFormat/>
    <w:uiPriority w:val="0"/>
    <w:rPr>
      <w:rFonts w:cs="Times New Roman"/>
    </w:rPr>
  </w:style>
  <w:style w:type="paragraph" w:customStyle="1" w:styleId="174">
    <w:name w:val="n_p_lineheight"/>
    <w:basedOn w:val="1"/>
    <w:qFormat/>
    <w:uiPriority w:val="0"/>
    <w:pPr>
      <w:widowControl/>
      <w:jc w:val="left"/>
    </w:pPr>
    <w:rPr>
      <w:rFonts w:ascii="宋体" w:hAnsi="宋体" w:cs="宋体"/>
      <w:kern w:val="0"/>
      <w:sz w:val="24"/>
    </w:rPr>
  </w:style>
  <w:style w:type="paragraph" w:customStyle="1" w:styleId="175">
    <w:name w:val="缺省文本"/>
    <w:basedOn w:val="1"/>
    <w:qFormat/>
    <w:uiPriority w:val="0"/>
    <w:pPr>
      <w:widowControl w:val="0"/>
      <w:autoSpaceDE w:val="0"/>
      <w:autoSpaceDN w:val="0"/>
      <w:adjustRightInd w:val="0"/>
    </w:pPr>
  </w:style>
  <w:style w:type="paragraph" w:customStyle="1" w:styleId="176">
    <w:name w:val="List Paragraph"/>
    <w:basedOn w:val="1"/>
    <w:qFormat/>
    <w:uiPriority w:val="0"/>
    <w:pPr>
      <w:ind w:firstLine="420" w:firstLineChars="200"/>
    </w:pPr>
    <w:rPr>
      <w:rFonts w:ascii="Calibri" w:hAnsi="Calibri"/>
      <w:szCs w:val="22"/>
    </w:rPr>
  </w:style>
  <w:style w:type="paragraph" w:customStyle="1" w:styleId="177">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78">
    <w:name w:val="表格样式5号居左"/>
    <w:basedOn w:val="1"/>
    <w:qFormat/>
    <w:uiPriority w:val="0"/>
    <w:pPr>
      <w:adjustRightInd w:val="0"/>
      <w:snapToGrid w:val="0"/>
      <w:spacing w:line="560" w:lineRule="exact"/>
      <w:ind w:left="-2" w:leftChars="-1" w:firstLine="562" w:firstLineChars="200"/>
    </w:pPr>
    <w:rPr>
      <w:rFonts w:ascii="宋体" w:hAnsi="宋体"/>
      <w:bCs/>
      <w:sz w:val="28"/>
      <w:szCs w:val="28"/>
    </w:rPr>
  </w:style>
  <w:style w:type="paragraph" w:customStyle="1" w:styleId="179">
    <w:name w:val="slStyle10"/>
    <w:basedOn w:val="1"/>
    <w:next w:val="1"/>
    <w:qFormat/>
    <w:uiPriority w:val="0"/>
    <w:rPr>
      <w:rFonts w:ascii="宋体" w:hAnsi="宋体"/>
      <w:sz w:val="20"/>
    </w:rPr>
  </w:style>
  <w:style w:type="paragraph" w:customStyle="1" w:styleId="180">
    <w:name w:val="样式 首行缩进:  2 字符"/>
    <w:basedOn w:val="1"/>
    <w:qFormat/>
    <w:uiPriority w:val="0"/>
    <w:pPr>
      <w:spacing w:line="400" w:lineRule="exact"/>
      <w:ind w:firstLine="200" w:firstLineChars="200"/>
    </w:pPr>
    <w:rPr>
      <w:sz w:val="24"/>
      <w:szCs w:val="20"/>
    </w:rPr>
  </w:style>
  <w:style w:type="paragraph" w:customStyle="1" w:styleId="181">
    <w:name w:val="网格表 31"/>
    <w:basedOn w:val="2"/>
    <w:next w:val="1"/>
    <w:qFormat/>
    <w:uiPriority w:val="0"/>
    <w:pPr>
      <w:spacing w:before="340" w:after="330" w:line="576" w:lineRule="auto"/>
      <w:outlineLvl w:val="9"/>
    </w:pPr>
    <w:rPr>
      <w:rFonts w:ascii="Calibri" w:hAnsi="Calibri"/>
      <w:sz w:val="44"/>
    </w:rPr>
  </w:style>
  <w:style w:type="paragraph" w:customStyle="1" w:styleId="182">
    <w:name w:val="正文文本缩进 21"/>
    <w:basedOn w:val="1"/>
    <w:qFormat/>
    <w:uiPriority w:val="0"/>
    <w:pPr>
      <w:spacing w:before="100" w:beforeAutospacing="1" w:after="120" w:line="480" w:lineRule="auto"/>
      <w:ind w:left="420" w:leftChars="200"/>
    </w:pPr>
    <w:rPr>
      <w:szCs w:val="21"/>
    </w:rPr>
  </w:style>
  <w:style w:type="paragraph" w:customStyle="1" w:styleId="183">
    <w:name w:val="CM62"/>
    <w:basedOn w:val="62"/>
    <w:next w:val="62"/>
    <w:qFormat/>
    <w:uiPriority w:val="0"/>
    <w:pPr>
      <w:spacing w:line="400" w:lineRule="atLeast"/>
    </w:pPr>
    <w:rPr>
      <w:rFonts w:cs="Times New Roman"/>
      <w:color w:val="auto"/>
    </w:rPr>
  </w:style>
  <w:style w:type="paragraph" w:customStyle="1" w:styleId="184">
    <w:name w:val=" Char Char Char Char Char Char1 Char Char Char Char"/>
    <w:basedOn w:val="1"/>
    <w:qFormat/>
    <w:uiPriority w:val="0"/>
  </w:style>
  <w:style w:type="paragraph" w:customStyle="1" w:styleId="185">
    <w:name w:val="默认段落字体 Para Char Char Char Char"/>
    <w:basedOn w:val="1"/>
    <w:qFormat/>
    <w:uiPriority w:val="0"/>
  </w:style>
  <w:style w:type="paragraph" w:customStyle="1" w:styleId="186">
    <w:name w:val="cxl-1-章节式正文一"/>
    <w:basedOn w:val="1"/>
    <w:next w:val="1"/>
    <w:qFormat/>
    <w:uiPriority w:val="0"/>
    <w:pPr>
      <w:jc w:val="center"/>
      <w:outlineLvl w:val="0"/>
    </w:pPr>
    <w:rPr>
      <w:b/>
      <w:sz w:val="44"/>
      <w:szCs w:val="44"/>
    </w:rPr>
  </w:style>
  <w:style w:type="paragraph" w:customStyle="1" w:styleId="187">
    <w:name w:val="slStyle6"/>
    <w:basedOn w:val="1"/>
    <w:next w:val="1"/>
    <w:qFormat/>
    <w:uiPriority w:val="0"/>
    <w:pPr>
      <w:tabs>
        <w:tab w:val="left" w:pos="3260"/>
      </w:tabs>
      <w:ind w:left="3260" w:hanging="1140"/>
    </w:pPr>
    <w:rPr>
      <w:rFonts w:ascii="隶书" w:hAnsi="宋体" w:eastAsia="隶书"/>
      <w:b/>
      <w:sz w:val="20"/>
    </w:rPr>
  </w:style>
  <w:style w:type="paragraph" w:customStyle="1" w:styleId="188">
    <w:name w:val="Char"/>
    <w:basedOn w:val="1"/>
    <w:qFormat/>
    <w:uiPriority w:val="0"/>
    <w:rPr>
      <w:szCs w:val="21"/>
    </w:rPr>
  </w:style>
  <w:style w:type="paragraph" w:customStyle="1" w:styleId="189">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0">
    <w:name w:val="目录"/>
    <w:basedOn w:val="1"/>
    <w:qFormat/>
    <w:uiPriority w:val="0"/>
    <w:pPr>
      <w:widowControl/>
      <w:jc w:val="center"/>
    </w:pPr>
    <w:rPr>
      <w:rFonts w:ascii="宋体"/>
      <w:b/>
      <w:kern w:val="0"/>
      <w:sz w:val="36"/>
      <w:szCs w:val="20"/>
    </w:rPr>
  </w:style>
  <w:style w:type="paragraph" w:customStyle="1" w:styleId="191">
    <w:name w:val="1.1.1"/>
    <w:basedOn w:val="4"/>
    <w:qFormat/>
    <w:uiPriority w:val="0"/>
    <w:pPr>
      <w:tabs>
        <w:tab w:val="left" w:pos="1080"/>
        <w:tab w:val="left" w:pos="1260"/>
      </w:tabs>
      <w:adjustRightInd w:val="0"/>
      <w:spacing w:before="120" w:afterLines="50" w:line="440" w:lineRule="exact"/>
      <w:ind w:left="1140" w:hanging="1140"/>
      <w:jc w:val="left"/>
      <w:textAlignment w:val="baseline"/>
    </w:pPr>
    <w:rPr>
      <w:sz w:val="24"/>
      <w:szCs w:val="20"/>
    </w:rPr>
  </w:style>
  <w:style w:type="paragraph" w:customStyle="1" w:styleId="192">
    <w:name w:val="证文"/>
    <w:basedOn w:val="1"/>
    <w:qFormat/>
    <w:uiPriority w:val="0"/>
    <w:pPr>
      <w:spacing w:line="360" w:lineRule="auto"/>
    </w:pPr>
    <w:rPr>
      <w:sz w:val="24"/>
      <w:szCs w:val="20"/>
    </w:rPr>
  </w:style>
  <w:style w:type="paragraph" w:customStyle="1" w:styleId="193">
    <w:name w:val="条目2"/>
    <w:basedOn w:val="1"/>
    <w:qFormat/>
    <w:uiPriority w:val="0"/>
    <w:pPr>
      <w:tabs>
        <w:tab w:val="left" w:pos="780"/>
      </w:tabs>
      <w:overflowPunct w:val="0"/>
      <w:autoSpaceDE w:val="0"/>
      <w:autoSpaceDN w:val="0"/>
      <w:adjustRightInd w:val="0"/>
      <w:snapToGrid w:val="0"/>
      <w:spacing w:before="312" w:beforeLines="100" w:after="100" w:afterAutospacing="1"/>
      <w:ind w:left="780" w:hanging="360"/>
    </w:pPr>
    <w:rPr>
      <w:rFonts w:ascii="宋体" w:hAnsi="宋体"/>
      <w:kern w:val="0"/>
      <w:sz w:val="24"/>
      <w:szCs w:val="22"/>
      <w:lang w:val="fr-FR"/>
    </w:rPr>
  </w:style>
  <w:style w:type="paragraph" w:customStyle="1" w:styleId="194">
    <w:name w:val="slStyle4"/>
    <w:basedOn w:val="1"/>
    <w:next w:val="1"/>
    <w:qFormat/>
    <w:uiPriority w:val="0"/>
    <w:pPr>
      <w:tabs>
        <w:tab w:val="left" w:pos="2000"/>
      </w:tabs>
      <w:ind w:left="1980" w:hanging="700"/>
    </w:pPr>
    <w:rPr>
      <w:rFonts w:ascii="隶书" w:hAnsi="宋体" w:eastAsia="隶书"/>
      <w:b/>
      <w:sz w:val="20"/>
    </w:rPr>
  </w:style>
  <w:style w:type="paragraph" w:customStyle="1" w:styleId="195">
    <w:name w:val=" Char Char Char Char Char Char Char"/>
    <w:basedOn w:val="1"/>
    <w:qFormat/>
    <w:uiPriority w:val="0"/>
  </w:style>
  <w:style w:type="paragraph" w:customStyle="1" w:styleId="196">
    <w:name w:val="表格样式5号居中"/>
    <w:basedOn w:val="1"/>
    <w:qFormat/>
    <w:uiPriority w:val="0"/>
    <w:pPr>
      <w:adjustRightInd w:val="0"/>
      <w:snapToGrid w:val="0"/>
      <w:jc w:val="left"/>
    </w:pPr>
    <w:rPr>
      <w:kern w:val="0"/>
      <w:sz w:val="28"/>
      <w:lang w:bidi="he-IL"/>
    </w:rPr>
  </w:style>
  <w:style w:type="paragraph" w:customStyle="1" w:styleId="197">
    <w:name w:val="TOC æ ‡é¢˜"/>
    <w:basedOn w:val="1"/>
    <w:next w:val="1"/>
    <w:qFormat/>
    <w:uiPriority w:val="0"/>
    <w:pPr>
      <w:keepNext/>
      <w:keepLines/>
      <w:tabs>
        <w:tab w:val="left" w:pos="360"/>
      </w:tabs>
      <w:autoSpaceDE w:val="0"/>
      <w:autoSpaceDN w:val="0"/>
      <w:adjustRightInd w:val="0"/>
      <w:spacing w:before="480" w:line="264" w:lineRule="auto"/>
      <w:jc w:val="left"/>
    </w:pPr>
    <w:rPr>
      <w:rFonts w:ascii="宋体" w:cs="宋体"/>
      <w:b/>
      <w:bCs/>
      <w:kern w:val="0"/>
      <w:sz w:val="28"/>
      <w:szCs w:val="28"/>
      <w:lang w:val="zh-CN"/>
    </w:rPr>
  </w:style>
  <w:style w:type="paragraph" w:customStyle="1" w:styleId="198">
    <w:name w:val="1"/>
    <w:basedOn w:val="1"/>
    <w:next w:val="19"/>
    <w:qFormat/>
    <w:uiPriority w:val="0"/>
    <w:pPr>
      <w:adjustRightInd w:val="0"/>
      <w:spacing w:line="60" w:lineRule="atLeast"/>
      <w:textAlignment w:val="baseline"/>
    </w:pPr>
    <w:rPr>
      <w:rFonts w:ascii="宋体" w:hAnsi="宋体"/>
      <w:sz w:val="24"/>
      <w:szCs w:val="20"/>
    </w:rPr>
  </w:style>
  <w:style w:type="paragraph" w:customStyle="1" w:styleId="19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00">
    <w:name w:val="KOKO"/>
    <w:basedOn w:val="1"/>
    <w:qFormat/>
    <w:uiPriority w:val="0"/>
    <w:pPr>
      <w:adjustRightInd w:val="0"/>
      <w:spacing w:line="312" w:lineRule="atLeast"/>
      <w:textAlignment w:val="baseline"/>
    </w:pPr>
    <w:rPr>
      <w:rFonts w:eastAsia="楷体_GB2312"/>
      <w:kern w:val="0"/>
      <w:sz w:val="32"/>
      <w:szCs w:val="20"/>
    </w:rPr>
  </w:style>
  <w:style w:type="paragraph" w:customStyle="1" w:styleId="201">
    <w:name w:val="1."/>
    <w:basedOn w:val="1"/>
    <w:qFormat/>
    <w:uiPriority w:val="0"/>
    <w:pPr>
      <w:tabs>
        <w:tab w:val="left" w:pos="0"/>
        <w:tab w:val="left" w:pos="426"/>
        <w:tab w:val="left" w:pos="714"/>
      </w:tabs>
      <w:adjustRightInd w:val="0"/>
      <w:snapToGrid w:val="0"/>
      <w:spacing w:before="120" w:after="120" w:line="400" w:lineRule="atLeast"/>
      <w:ind w:left="425" w:hanging="425"/>
      <w:jc w:val="center"/>
      <w:textAlignment w:val="baseline"/>
    </w:pPr>
    <w:rPr>
      <w:rFonts w:ascii="Arial" w:hAnsi="Arial"/>
      <w:b/>
      <w:bCs/>
      <w:kern w:val="0"/>
      <w:sz w:val="32"/>
      <w:szCs w:val="20"/>
    </w:rPr>
  </w:style>
  <w:style w:type="paragraph" w:customStyle="1" w:styleId="202">
    <w:name w:val="È±?"/>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03">
    <w:name w:val="cde"/>
    <w:basedOn w:val="1"/>
    <w:qFormat/>
    <w:uiPriority w:val="0"/>
    <w:pPr>
      <w:suppressAutoHyphens/>
      <w:spacing w:line="360" w:lineRule="auto"/>
      <w:jc w:val="center"/>
    </w:pPr>
    <w:rPr>
      <w:rFonts w:ascii="Arial" w:hAnsi="Arial" w:cs="Arial"/>
      <w:b/>
      <w:kern w:val="1"/>
      <w:sz w:val="28"/>
      <w:szCs w:val="20"/>
    </w:rPr>
  </w:style>
  <w:style w:type="paragraph" w:customStyle="1" w:styleId="204">
    <w:name w:val="slStyle7"/>
    <w:basedOn w:val="1"/>
    <w:next w:val="1"/>
    <w:qFormat/>
    <w:uiPriority w:val="0"/>
    <w:pPr>
      <w:tabs>
        <w:tab w:val="left" w:pos="4000"/>
      </w:tabs>
      <w:ind w:left="3820" w:hanging="1260"/>
    </w:pPr>
    <w:rPr>
      <w:rFonts w:ascii="隶书" w:hAnsi="宋体" w:eastAsia="隶书"/>
      <w:b/>
      <w:sz w:val="20"/>
    </w:rPr>
  </w:style>
  <w:style w:type="paragraph" w:customStyle="1" w:styleId="205">
    <w:name w:val="框图样式—单倍居中"/>
    <w:basedOn w:val="28"/>
    <w:qFormat/>
    <w:uiPriority w:val="0"/>
    <w:pPr>
      <w:adjustRightInd w:val="0"/>
      <w:snapToGrid w:val="0"/>
      <w:jc w:val="center"/>
    </w:pPr>
    <w:rPr>
      <w:color w:val="000000"/>
    </w:rPr>
  </w:style>
  <w:style w:type="paragraph" w:customStyle="1" w:styleId="206">
    <w:name w:val=" Char2"/>
    <w:basedOn w:val="1"/>
    <w:qFormat/>
    <w:uiPriority w:val="0"/>
  </w:style>
  <w:style w:type="paragraph" w:customStyle="1" w:styleId="207">
    <w:name w:val="PP 行"/>
    <w:basedOn w:val="35"/>
    <w:qFormat/>
    <w:uiPriority w:val="0"/>
  </w:style>
  <w:style w:type="paragraph" w:customStyle="1" w:styleId="208">
    <w:name w:val=" Char"/>
    <w:basedOn w:val="1"/>
    <w:qFormat/>
    <w:uiPriority w:val="0"/>
  </w:style>
  <w:style w:type="paragraph" w:customStyle="1" w:styleId="209">
    <w:name w:val="样式 标题 3 + (中文) 黑体 小四 非加粗 段前: 7.8 磅 段后: 0 磅 行距: 固定值 20 磅"/>
    <w:basedOn w:val="4"/>
    <w:qFormat/>
    <w:uiPriority w:val="0"/>
    <w:pPr>
      <w:spacing w:before="0" w:after="0" w:line="400" w:lineRule="exact"/>
    </w:pPr>
    <w:rPr>
      <w:rFonts w:eastAsia="黑体"/>
      <w:b w:val="0"/>
      <w:sz w:val="24"/>
      <w:szCs w:val="20"/>
    </w:rPr>
  </w:style>
  <w:style w:type="paragraph" w:customStyle="1" w:styleId="210">
    <w:name w:val="纯文本1"/>
    <w:basedOn w:val="1"/>
    <w:qFormat/>
    <w:uiPriority w:val="0"/>
    <w:pPr>
      <w:adjustRightInd w:val="0"/>
      <w:jc w:val="left"/>
      <w:textAlignment w:val="baseline"/>
    </w:pPr>
    <w:rPr>
      <w:rFonts w:ascii="宋体" w:hAnsi="Courier New"/>
      <w:sz w:val="24"/>
      <w:szCs w:val="20"/>
    </w:rPr>
  </w:style>
  <w:style w:type="paragraph" w:customStyle="1" w:styleId="211">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8"/>
      <w:szCs w:val="20"/>
    </w:rPr>
  </w:style>
  <w:style w:type="paragraph" w:customStyle="1" w:styleId="213">
    <w:name w:val="新样式"/>
    <w:basedOn w:val="1"/>
    <w:qFormat/>
    <w:uiPriority w:val="0"/>
    <w:pPr>
      <w:snapToGrid w:val="0"/>
      <w:spacing w:line="440" w:lineRule="atLeast"/>
      <w:ind w:firstLine="527"/>
    </w:pPr>
    <w:rPr>
      <w:rFonts w:eastAsia="楷体_GB2312"/>
      <w:kern w:val="16"/>
      <w:sz w:val="28"/>
      <w:szCs w:val="20"/>
    </w:rPr>
  </w:style>
  <w:style w:type="paragraph" w:customStyle="1" w:styleId="214">
    <w:name w:val="xl27"/>
    <w:basedOn w:val="1"/>
    <w:qFormat/>
    <w:uiPriority w:val="0"/>
    <w:pPr>
      <w:widowControl/>
      <w:pBdr>
        <w:left w:val="single" w:color="auto" w:sz="4" w:space="0"/>
      </w:pBdr>
      <w:spacing w:before="100" w:beforeAutospacing="1" w:after="100" w:afterAutospacing="1"/>
      <w:jc w:val="center"/>
    </w:pPr>
    <w:rPr>
      <w:rFonts w:hint="eastAsia" w:ascii="仿宋_GB2312" w:hAnsi="宋体" w:eastAsia="仿宋_GB2312"/>
      <w:kern w:val="0"/>
      <w:sz w:val="24"/>
    </w:rPr>
  </w:style>
  <w:style w:type="paragraph" w:customStyle="1" w:styleId="215">
    <w:name w:val="标题样式"/>
    <w:basedOn w:val="1"/>
    <w:next w:val="19"/>
    <w:qFormat/>
    <w:uiPriority w:val="0"/>
    <w:pPr>
      <w:keepNext/>
      <w:suppressAutoHyphens/>
      <w:spacing w:before="240" w:after="120"/>
    </w:pPr>
    <w:rPr>
      <w:rFonts w:ascii="Liberation Sans" w:hAnsi="Liberation Sans" w:eastAsia="微软雅黑" w:cs="Mangal"/>
      <w:kern w:val="1"/>
      <w:sz w:val="28"/>
      <w:szCs w:val="28"/>
    </w:rPr>
  </w:style>
  <w:style w:type="paragraph" w:customStyle="1" w:styleId="216">
    <w:name w:val="YD3-后"/>
    <w:basedOn w:val="217"/>
    <w:qFormat/>
    <w:uiPriority w:val="0"/>
    <w:pPr>
      <w:numPr>
        <w:ilvl w:val="0"/>
        <w:numId w:val="1"/>
      </w:numPr>
      <w:tabs>
        <w:tab w:val="left" w:pos="2552"/>
        <w:tab w:val="left" w:pos="8931"/>
        <w:tab w:val="clear" w:pos="3083"/>
      </w:tabs>
      <w:spacing w:before="156" w:beforeLines="50" w:line="380" w:lineRule="exact"/>
      <w:ind w:left="2552" w:right="140" w:hanging="425"/>
    </w:pPr>
    <w:rPr>
      <w:rFonts w:ascii="仿宋_GB2312" w:hAnsi="华文中宋" w:eastAsia="仿宋_GB2312"/>
      <w:w w:val="90"/>
      <w:kern w:val="13"/>
      <w:sz w:val="28"/>
      <w:szCs w:val="28"/>
    </w:rPr>
  </w:style>
  <w:style w:type="paragraph" w:customStyle="1" w:styleId="217">
    <w:name w:val="YD3"/>
    <w:basedOn w:val="1"/>
    <w:qFormat/>
    <w:uiPriority w:val="0"/>
    <w:rPr>
      <w:szCs w:val="20"/>
    </w:rPr>
  </w:style>
  <w:style w:type="paragraph" w:customStyle="1" w:styleId="218">
    <w:name w:val="slStyle5"/>
    <w:basedOn w:val="1"/>
    <w:next w:val="1"/>
    <w:qFormat/>
    <w:uiPriority w:val="0"/>
    <w:pPr>
      <w:tabs>
        <w:tab w:val="left" w:pos="2780"/>
      </w:tabs>
      <w:ind w:left="2560" w:hanging="860"/>
    </w:pPr>
    <w:rPr>
      <w:rFonts w:ascii="隶书" w:hAnsi="宋体" w:eastAsia="隶书"/>
      <w:b/>
      <w:sz w:val="20"/>
    </w:rPr>
  </w:style>
  <w:style w:type="paragraph" w:customStyle="1" w:styleId="219">
    <w:name w:val="slStyle8"/>
    <w:basedOn w:val="1"/>
    <w:next w:val="1"/>
    <w:qFormat/>
    <w:uiPriority w:val="0"/>
    <w:pPr>
      <w:tabs>
        <w:tab w:val="left" w:pos="4780"/>
      </w:tabs>
      <w:ind w:left="4400" w:hanging="1420"/>
    </w:pPr>
    <w:rPr>
      <w:rFonts w:ascii="隶书" w:hAnsi="宋体" w:eastAsia="隶书"/>
      <w:b/>
      <w:sz w:val="20"/>
    </w:rPr>
  </w:style>
  <w:style w:type="paragraph" w:customStyle="1" w:styleId="220">
    <w:name w:val=" Char1"/>
    <w:basedOn w:val="1"/>
    <w:qFormat/>
    <w:uiPriority w:val="0"/>
    <w:rPr>
      <w:rFonts w:ascii="Tahoma" w:hAnsi="Tahoma"/>
      <w:b/>
      <w:sz w:val="28"/>
      <w:szCs w:val="28"/>
    </w:rPr>
  </w:style>
  <w:style w:type="paragraph" w:customStyle="1" w:styleId="221">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彩色底纹 - 着色 11"/>
    <w:qFormat/>
    <w:uiPriority w:val="0"/>
    <w:rPr>
      <w:rFonts w:ascii="Times New Roman" w:hAnsi="Times New Roman" w:eastAsia="宋体" w:cs="Times New Roman"/>
      <w:kern w:val="2"/>
      <w:sz w:val="21"/>
      <w:szCs w:val="24"/>
      <w:lang w:val="en-US" w:eastAsia="zh-CN" w:bidi="ar-SA"/>
    </w:rPr>
  </w:style>
  <w:style w:type="paragraph" w:customStyle="1" w:styleId="223">
    <w:name w:val="slStyle3"/>
    <w:basedOn w:val="1"/>
    <w:next w:val="1"/>
    <w:qFormat/>
    <w:uiPriority w:val="0"/>
    <w:pPr>
      <w:tabs>
        <w:tab w:val="left" w:pos="1560"/>
      </w:tabs>
      <w:ind w:left="1420" w:hanging="580"/>
    </w:pPr>
    <w:rPr>
      <w:rFonts w:ascii="隶书" w:hAnsi="宋体" w:eastAsia="隶书"/>
      <w:b/>
      <w:sz w:val="24"/>
    </w:rPr>
  </w:style>
  <w:style w:type="paragraph" w:customStyle="1" w:styleId="224">
    <w:name w:val="p19"/>
    <w:basedOn w:val="1"/>
    <w:qFormat/>
    <w:uiPriority w:val="0"/>
    <w:pPr>
      <w:widowControl/>
      <w:ind w:firstLine="540"/>
    </w:pPr>
    <w:rPr>
      <w:kern w:val="0"/>
      <w:sz w:val="28"/>
      <w:szCs w:val="28"/>
    </w:rPr>
  </w:style>
  <w:style w:type="paragraph" w:customStyle="1" w:styleId="225">
    <w:name w:val="表格6"/>
    <w:basedOn w:val="1"/>
    <w:qFormat/>
    <w:uiPriority w:val="0"/>
    <w:pPr>
      <w:adjustRightInd w:val="0"/>
      <w:spacing w:line="420" w:lineRule="atLeast"/>
      <w:ind w:left="737"/>
      <w:textAlignment w:val="baseline"/>
    </w:pPr>
    <w:rPr>
      <w:rFonts w:ascii="宋体"/>
      <w:kern w:val="0"/>
      <w:szCs w:val="20"/>
    </w:rPr>
  </w:style>
  <w:style w:type="paragraph" w:customStyle="1" w:styleId="226">
    <w:name w:val=" Char Char Char Char Char Char Char Char Char Char Char Char Char Char Char Char Char Char Char Char Char Char Char Char Char Char Char Char Char Char Char"/>
    <w:basedOn w:val="1"/>
    <w:qFormat/>
    <w:uiPriority w:val="0"/>
    <w:rPr>
      <w:szCs w:val="21"/>
    </w:rPr>
  </w:style>
  <w:style w:type="paragraph" w:customStyle="1" w:styleId="227">
    <w:name w:val="第一章"/>
    <w:basedOn w:val="1"/>
    <w:next w:val="1"/>
    <w:qFormat/>
    <w:uiPriority w:val="0"/>
    <w:pPr>
      <w:tabs>
        <w:tab w:val="left" w:pos="0"/>
      </w:tabs>
      <w:spacing w:line="360" w:lineRule="auto"/>
      <w:ind w:hangingChars="500"/>
      <w:jc w:val="center"/>
    </w:pPr>
    <w:rPr>
      <w:rFonts w:eastAsia="黑体"/>
      <w:sz w:val="44"/>
      <w:szCs w:val="20"/>
    </w:rPr>
  </w:style>
  <w:style w:type="paragraph" w:customStyle="1" w:styleId="228">
    <w:name w:val="条款节部分"/>
    <w:basedOn w:val="1"/>
    <w:qFormat/>
    <w:uiPriority w:val="0"/>
    <w:pPr>
      <w:tabs>
        <w:tab w:val="left" w:pos="2850"/>
      </w:tabs>
    </w:pPr>
    <w:rPr>
      <w:rFonts w:eastAsia="仿宋_GB2312"/>
      <w:sz w:val="32"/>
      <w:szCs w:val="32"/>
    </w:rPr>
  </w:style>
  <w:style w:type="paragraph" w:customStyle="1" w:styleId="229">
    <w:name w:val=" Char Char Char Char Char Char Char Char Char Char Char Char Char Char Char Char Char Char Char Char Char"/>
    <w:basedOn w:val="1"/>
    <w:qFormat/>
    <w:uiPriority w:val="0"/>
    <w:pPr>
      <w:suppressAutoHyphens/>
      <w:autoSpaceDE w:val="0"/>
      <w:snapToGrid w:val="0"/>
      <w:spacing w:before="50" w:after="50" w:line="360" w:lineRule="auto"/>
      <w:ind w:firstLine="560"/>
    </w:pPr>
    <w:rPr>
      <w:color w:val="000000"/>
      <w:kern w:val="1"/>
    </w:rPr>
  </w:style>
  <w:style w:type="paragraph" w:customStyle="1" w:styleId="230">
    <w:name w:val="xl41"/>
    <w:basedOn w:val="1"/>
    <w:qFormat/>
    <w:uiPriority w:val="0"/>
    <w:pPr>
      <w:widowControl/>
      <w:spacing w:before="100" w:beforeAutospacing="1" w:after="100" w:afterAutospacing="1"/>
      <w:jc w:val="center"/>
    </w:pPr>
    <w:rPr>
      <w:rFonts w:ascii="宋体" w:hAnsi="宋体"/>
      <w:kern w:val="0"/>
      <w:sz w:val="24"/>
    </w:rPr>
  </w:style>
  <w:style w:type="paragraph" w:customStyle="1" w:styleId="231">
    <w:name w:val="普通 (Web)"/>
    <w:basedOn w:val="1"/>
    <w:qFormat/>
    <w:uiPriority w:val="0"/>
    <w:pPr>
      <w:widowControl/>
      <w:spacing w:before="102" w:after="102" w:line="351" w:lineRule="atLeast"/>
      <w:ind w:firstLine="419"/>
      <w:jc w:val="left"/>
      <w:textAlignment w:val="baseline"/>
    </w:pPr>
    <w:rPr>
      <w:rFonts w:ascii="宋体"/>
      <w:color w:val="999999"/>
      <w:kern w:val="0"/>
      <w:sz w:val="24"/>
      <w:szCs w:val="20"/>
      <w:u w:val="none" w:color="000000"/>
    </w:rPr>
  </w:style>
  <w:style w:type="paragraph" w:customStyle="1" w:styleId="232">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33">
    <w:name w:val="slStyle2"/>
    <w:basedOn w:val="1"/>
    <w:next w:val="1"/>
    <w:qFormat/>
    <w:uiPriority w:val="0"/>
    <w:pPr>
      <w:tabs>
        <w:tab w:val="left" w:pos="2220"/>
      </w:tabs>
      <w:ind w:left="1000" w:hanging="580"/>
    </w:pPr>
    <w:rPr>
      <w:rFonts w:ascii="隶书" w:hAnsi="宋体" w:eastAsia="隶书"/>
      <w:b/>
      <w:sz w:val="30"/>
    </w:rPr>
  </w:style>
  <w:style w:type="paragraph" w:customStyle="1" w:styleId="234">
    <w:name w:val="索引"/>
    <w:basedOn w:val="1"/>
    <w:qFormat/>
    <w:uiPriority w:val="0"/>
    <w:pPr>
      <w:suppressLineNumbers/>
      <w:suppressAutoHyphens/>
    </w:pPr>
    <w:rPr>
      <w:rFonts w:cs="Mangal"/>
      <w:kern w:val="1"/>
    </w:rPr>
  </w:style>
  <w:style w:type="paragraph" w:customStyle="1" w:styleId="23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236">
    <w:name w:val="CM4"/>
    <w:basedOn w:val="62"/>
    <w:next w:val="62"/>
    <w:qFormat/>
    <w:uiPriority w:val="0"/>
    <w:rPr>
      <w:rFonts w:cs="Times New Roman"/>
      <w:color w:val="auto"/>
      <w:szCs w:val="20"/>
    </w:rPr>
  </w:style>
  <w:style w:type="paragraph" w:customStyle="1" w:styleId="237">
    <w:name w:val="梦龙正文"/>
    <w:basedOn w:val="1"/>
    <w:qFormat/>
    <w:uiPriority w:val="0"/>
    <w:pPr>
      <w:adjustRightInd w:val="0"/>
      <w:snapToGrid w:val="0"/>
      <w:spacing w:line="360" w:lineRule="auto"/>
    </w:pPr>
    <w:rPr>
      <w:sz w:val="28"/>
    </w:rPr>
  </w:style>
  <w:style w:type="paragraph" w:customStyle="1" w:styleId="238">
    <w:name w:val="浅色列表 - 强调文字颜色 31"/>
    <w:qFormat/>
    <w:uiPriority w:val="71"/>
    <w:rPr>
      <w:rFonts w:ascii="Times New Roman" w:hAnsi="Times New Roman" w:eastAsia="宋体" w:cs="Times New Roman"/>
      <w:kern w:val="2"/>
      <w:sz w:val="21"/>
      <w:szCs w:val="24"/>
      <w:lang w:val="en-US" w:eastAsia="zh-CN" w:bidi="ar-SA"/>
    </w:rPr>
  </w:style>
  <w:style w:type="paragraph" w:customStyle="1" w:styleId="239">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0">
    <w:name w:val="彩色列表 - 着色 11"/>
    <w:basedOn w:val="1"/>
    <w:qFormat/>
    <w:uiPriority w:val="0"/>
    <w:pPr>
      <w:ind w:firstLine="420" w:firstLineChars="200"/>
    </w:pPr>
    <w:rPr>
      <w:rFonts w:ascii="Calibri" w:hAnsi="Calibri"/>
      <w:szCs w:val="22"/>
    </w:rPr>
  </w:style>
  <w:style w:type="paragraph" w:customStyle="1" w:styleId="24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42">
    <w:name w:val="1-正文(仿宋)"/>
    <w:basedOn w:val="1"/>
    <w:qFormat/>
    <w:uiPriority w:val="0"/>
    <w:pPr>
      <w:spacing w:line="360" w:lineRule="auto"/>
      <w:ind w:firstLine="567"/>
      <w:jc w:val="left"/>
    </w:pPr>
    <w:rPr>
      <w:rFonts w:ascii="仿宋_GB2312" w:eastAsia="仿宋_GB2312"/>
      <w:color w:val="000000"/>
      <w:sz w:val="28"/>
      <w:szCs w:val="20"/>
    </w:rPr>
  </w:style>
  <w:style w:type="paragraph" w:customStyle="1" w:styleId="243">
    <w:name w:val="列出段落1"/>
    <w:basedOn w:val="1"/>
    <w:qFormat/>
    <w:uiPriority w:val="34"/>
    <w:pPr>
      <w:ind w:firstLine="420" w:firstLineChars="200"/>
    </w:pPr>
    <w:rPr>
      <w:rFonts w:ascii="Calibri" w:hAnsi="Calibri"/>
      <w:szCs w:val="22"/>
    </w:rPr>
  </w:style>
  <w:style w:type="paragraph" w:customStyle="1" w:styleId="244">
    <w:name w:val="正文(宋)"/>
    <w:basedOn w:val="1"/>
    <w:qFormat/>
    <w:uiPriority w:val="0"/>
    <w:pPr>
      <w:spacing w:line="360" w:lineRule="auto"/>
      <w:ind w:firstLine="567"/>
    </w:pPr>
    <w:rPr>
      <w:sz w:val="28"/>
      <w:szCs w:val="20"/>
    </w:rPr>
  </w:style>
  <w:style w:type="paragraph" w:customStyle="1" w:styleId="245">
    <w:name w:val=" Char Char Char1 Char"/>
    <w:basedOn w:val="1"/>
    <w:qFormat/>
    <w:uiPriority w:val="0"/>
  </w:style>
  <w:style w:type="paragraph" w:customStyle="1" w:styleId="246">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
    <w:name w:val="Char Char Char"/>
    <w:basedOn w:val="1"/>
    <w:qFormat/>
    <w:uiPriority w:val="0"/>
    <w:rPr>
      <w:rFonts w:ascii="Tahoma" w:hAnsi="Tahoma"/>
      <w:sz w:val="24"/>
      <w:szCs w:val="20"/>
    </w:rPr>
  </w:style>
  <w:style w:type="paragraph" w:customStyle="1" w:styleId="248">
    <w:name w:val="框架内容"/>
    <w:basedOn w:val="1"/>
    <w:qFormat/>
    <w:uiPriority w:val="0"/>
    <w:pPr>
      <w:suppressAutoHyphens/>
    </w:pPr>
    <w:rPr>
      <w:kern w:val="1"/>
    </w:rPr>
  </w:style>
  <w:style w:type="paragraph" w:customStyle="1" w:styleId="249">
    <w:name w:val="彩色底纹 - 强调文字颜色 11"/>
    <w:unhideWhenUsed/>
    <w:qFormat/>
    <w:uiPriority w:val="99"/>
    <w:rPr>
      <w:rFonts w:ascii="Times New Roman" w:hAnsi="Times New Roman" w:eastAsia="宋体" w:cs="Times New Roman"/>
      <w:sz w:val="24"/>
      <w:szCs w:val="24"/>
      <w:lang w:val="en-US" w:eastAsia="zh-CN" w:bidi="ar-SA"/>
    </w:rPr>
  </w:style>
  <w:style w:type="paragraph" w:customStyle="1" w:styleId="250">
    <w:name w:val=" Char Char Char Char"/>
    <w:basedOn w:val="1"/>
    <w:qFormat/>
    <w:uiPriority w:val="0"/>
    <w:rPr>
      <w:rFonts w:ascii="Tahoma" w:hAnsi="Tahoma"/>
      <w:sz w:val="24"/>
      <w:szCs w:val="20"/>
    </w:rPr>
  </w:style>
  <w:style w:type="paragraph" w:customStyle="1" w:styleId="251">
    <w:name w:val="样式5"/>
    <w:basedOn w:val="1"/>
    <w:qFormat/>
    <w:uiPriority w:val="0"/>
    <w:pPr>
      <w:numPr>
        <w:ilvl w:val="0"/>
        <w:numId w:val="2"/>
      </w:numPr>
      <w:spacing w:line="400" w:lineRule="exact"/>
    </w:pPr>
    <w:rPr>
      <w:rFonts w:ascii="仿宋_GB2312" w:eastAsia="仿宋_GB2312"/>
      <w:sz w:val="24"/>
    </w:rPr>
  </w:style>
  <w:style w:type="paragraph" w:customStyle="1" w:styleId="252">
    <w:name w:val="slStyle9"/>
    <w:basedOn w:val="1"/>
    <w:next w:val="1"/>
    <w:qFormat/>
    <w:uiPriority w:val="0"/>
    <w:pPr>
      <w:tabs>
        <w:tab w:val="left" w:pos="5200"/>
      </w:tabs>
      <w:ind w:left="5100" w:hanging="1700"/>
    </w:pPr>
    <w:rPr>
      <w:rFonts w:ascii="隶书" w:hAnsi="宋体" w:eastAsia="隶书"/>
      <w:b/>
      <w:sz w:val="20"/>
    </w:rPr>
  </w:style>
  <w:style w:type="paragraph" w:customStyle="1" w:styleId="25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54">
    <w:name w:val="imclear"/>
    <w:basedOn w:val="1"/>
    <w:qFormat/>
    <w:uiPriority w:val="0"/>
    <w:pPr>
      <w:widowControl/>
      <w:spacing w:before="100" w:beforeAutospacing="1" w:after="100" w:afterAutospacing="1" w:line="0" w:lineRule="atLeast"/>
      <w:jc w:val="left"/>
    </w:pPr>
    <w:rPr>
      <w:rFonts w:ascii="宋体" w:hAnsi="宋体" w:cs="宋体"/>
      <w:kern w:val="0"/>
      <w:sz w:val="2"/>
      <w:szCs w:val="2"/>
    </w:rPr>
  </w:style>
  <w:style w:type="paragraph" w:customStyle="1" w:styleId="255">
    <w:name w:val="slStyle1"/>
    <w:basedOn w:val="1"/>
    <w:next w:val="1"/>
    <w:qFormat/>
    <w:uiPriority w:val="0"/>
    <w:pPr>
      <w:tabs>
        <w:tab w:val="left" w:pos="360"/>
      </w:tabs>
    </w:pPr>
    <w:rPr>
      <w:rFonts w:ascii="隶书" w:hAnsi="宋体" w:eastAsia="隶书"/>
      <w:b/>
      <w:sz w:val="36"/>
    </w:rPr>
  </w:style>
  <w:style w:type="paragraph" w:customStyle="1" w:styleId="256">
    <w:name w:val="样式1"/>
    <w:basedOn w:val="1"/>
    <w:next w:val="5"/>
    <w:qFormat/>
    <w:uiPriority w:val="0"/>
    <w:pPr>
      <w:spacing w:line="360" w:lineRule="auto"/>
      <w:ind w:firstLine="420" w:firstLineChars="200"/>
    </w:pPr>
    <w:rPr>
      <w:rFonts w:ascii="宋体" w:hAnsi="宋体"/>
      <w:szCs w:val="21"/>
    </w:rPr>
  </w:style>
  <w:style w:type="paragraph" w:customStyle="1" w:styleId="257">
    <w:name w:val="CM29"/>
    <w:basedOn w:val="62"/>
    <w:next w:val="62"/>
    <w:qFormat/>
    <w:uiPriority w:val="0"/>
    <w:pPr>
      <w:spacing w:line="400" w:lineRule="atLeast"/>
    </w:pPr>
    <w:rPr>
      <w:rFonts w:cs="Times New Roman"/>
      <w:color w:val="auto"/>
      <w:szCs w:val="20"/>
    </w:rPr>
  </w:style>
  <w:style w:type="paragraph" w:customStyle="1" w:styleId="258">
    <w:name w:val="p0"/>
    <w:basedOn w:val="1"/>
    <w:qFormat/>
    <w:uiPriority w:val="0"/>
    <w:pPr>
      <w:widowControl/>
    </w:pPr>
    <w:rPr>
      <w:kern w:val="0"/>
      <w:szCs w:val="21"/>
    </w:rPr>
  </w:style>
  <w:style w:type="paragraph" w:customStyle="1" w:styleId="259">
    <w:name w:val="正文 + 小四"/>
    <w:basedOn w:val="1"/>
    <w:qFormat/>
    <w:uiPriority w:val="0"/>
    <w:pPr>
      <w:tabs>
        <w:tab w:val="left" w:pos="960"/>
      </w:tabs>
    </w:pPr>
    <w:rPr>
      <w:sz w:val="24"/>
    </w:rPr>
  </w:style>
  <w:style w:type="paragraph" w:customStyle="1" w:styleId="260">
    <w:name w:val="CM80"/>
    <w:basedOn w:val="62"/>
    <w:next w:val="62"/>
    <w:qFormat/>
    <w:uiPriority w:val="0"/>
    <w:pPr>
      <w:spacing w:line="440" w:lineRule="atLeast"/>
    </w:pPr>
    <w:rPr>
      <w:color w:val="auto"/>
    </w:rPr>
  </w:style>
  <w:style w:type="paragraph" w:customStyle="1" w:styleId="261">
    <w:name w:val="Plain Text"/>
    <w:basedOn w:val="1"/>
    <w:qFormat/>
    <w:uiPriority w:val="0"/>
    <w:pPr>
      <w:adjustRightInd w:val="0"/>
      <w:textAlignment w:val="baseline"/>
    </w:pPr>
    <w:rPr>
      <w:rFonts w:ascii="宋体"/>
      <w:kern w:val="0"/>
      <w:sz w:val="24"/>
      <w:szCs w:val="20"/>
    </w:rPr>
  </w:style>
  <w:style w:type="paragraph" w:customStyle="1" w:styleId="262">
    <w:name w:val="_Style 261"/>
    <w:unhideWhenUsed/>
    <w:qFormat/>
    <w:uiPriority w:val="99"/>
    <w:rPr>
      <w:rFonts w:ascii="Times New Roman" w:hAnsi="Times New Roman" w:eastAsia="宋体" w:cs="Times New Roman"/>
      <w:sz w:val="24"/>
      <w:szCs w:val="24"/>
      <w:lang w:val="en-US" w:eastAsia="zh-CN" w:bidi="ar-SA"/>
    </w:rPr>
  </w:style>
  <w:style w:type="paragraph" w:customStyle="1" w:styleId="263">
    <w:name w:val="表格"/>
    <w:qFormat/>
    <w:uiPriority w:val="0"/>
    <w:pPr>
      <w:spacing w:before="20" w:after="20"/>
    </w:pPr>
    <w:rPr>
      <w:rFonts w:ascii="宋体" w:hAnsi="Times New Roman" w:eastAsia="宋体" w:cs="Times New Roman"/>
      <w:sz w:val="24"/>
      <w:lang w:val="en-US" w:eastAsia="zh-CN" w:bidi="ar-SA"/>
    </w:rPr>
  </w:style>
  <w:style w:type="paragraph" w:customStyle="1" w:styleId="26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65">
    <w:name w:val=" Char Char Char"/>
    <w:basedOn w:val="1"/>
    <w:qFormat/>
    <w:uiPriority w:val="0"/>
    <w:rPr>
      <w:rFonts w:ascii="Tahoma" w:hAnsi="Tahoma"/>
      <w:sz w:val="24"/>
      <w:szCs w:val="20"/>
    </w:rPr>
  </w:style>
  <w:style w:type="paragraph" w:customStyle="1" w:styleId="266">
    <w:name w:val="样式3"/>
    <w:basedOn w:val="2"/>
    <w:qFormat/>
    <w:uiPriority w:val="0"/>
    <w:rPr>
      <w:sz w:val="36"/>
    </w:rPr>
  </w:style>
  <w:style w:type="paragraph" w:customStyle="1" w:styleId="26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8">
    <w:name w:val="表格标题"/>
    <w:basedOn w:val="1"/>
    <w:qFormat/>
    <w:uiPriority w:val="0"/>
    <w:pPr>
      <w:spacing w:line="480" w:lineRule="auto"/>
      <w:jc w:val="center"/>
    </w:pPr>
    <w:rPr>
      <w:b/>
      <w:sz w:val="32"/>
      <w:szCs w:val="20"/>
    </w:rPr>
  </w:style>
  <w:style w:type="paragraph" w:customStyle="1" w:styleId="269">
    <w:name w:val="表格文字0.1行距"/>
    <w:basedOn w:val="1"/>
    <w:qFormat/>
    <w:uiPriority w:val="0"/>
    <w:pPr>
      <w:spacing w:line="200" w:lineRule="exact"/>
      <w:jc w:val="center"/>
    </w:pPr>
  </w:style>
  <w:style w:type="paragraph" w:customStyle="1" w:styleId="270">
    <w:name w:val="CM99"/>
    <w:basedOn w:val="62"/>
    <w:next w:val="62"/>
    <w:qFormat/>
    <w:uiPriority w:val="0"/>
    <w:pPr>
      <w:spacing w:after="443"/>
    </w:pPr>
    <w:rPr>
      <w:color w:val="auto"/>
    </w:rPr>
  </w:style>
  <w:style w:type="paragraph" w:customStyle="1" w:styleId="271">
    <w:name w:val="中等深浅列表 2 - 强调文字颜色 21"/>
    <w:qFormat/>
    <w:uiPriority w:val="62"/>
    <w:rPr>
      <w:rFonts w:ascii="Times New Roman" w:hAnsi="Times New Roman" w:eastAsia="宋体" w:cs="Times New Roman"/>
      <w:sz w:val="24"/>
      <w:szCs w:val="24"/>
      <w:lang w:val="en-US" w:eastAsia="zh-CN" w:bidi="ar-SA"/>
    </w:rPr>
  </w:style>
  <w:style w:type="paragraph" w:customStyle="1" w:styleId="272">
    <w:name w:val="1-正文（宋）"/>
    <w:basedOn w:val="1"/>
    <w:qFormat/>
    <w:uiPriority w:val="0"/>
    <w:pPr>
      <w:spacing w:line="360" w:lineRule="auto"/>
      <w:ind w:firstLine="567"/>
    </w:pPr>
    <w:rPr>
      <w:sz w:val="28"/>
      <w:szCs w:val="20"/>
    </w:rPr>
  </w:style>
  <w:style w:type="paragraph" w:customStyle="1" w:styleId="273">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szCs w:val="20"/>
    </w:rPr>
  </w:style>
  <w:style w:type="paragraph" w:customStyle="1" w:styleId="274">
    <w:name w:val="4"/>
    <w:basedOn w:val="5"/>
    <w:qFormat/>
    <w:uiPriority w:val="0"/>
    <w:pPr>
      <w:spacing w:before="60" w:after="60" w:line="300" w:lineRule="auto"/>
    </w:pPr>
    <w:rPr>
      <w:sz w:val="24"/>
      <w:szCs w:val="20"/>
      <w:lang w:val="en-US" w:eastAsia="zh-CN"/>
    </w:rPr>
  </w:style>
  <w:style w:type="paragraph" w:customStyle="1" w:styleId="275">
    <w:name w:val="正文 A"/>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276">
    <w:name w:val="门模型"/>
    <w:basedOn w:val="1"/>
    <w:qFormat/>
    <w:uiPriority w:val="0"/>
    <w:pPr>
      <w:ind w:firstLine="570"/>
    </w:pPr>
    <w:rPr>
      <w:sz w:val="28"/>
    </w:rPr>
  </w:style>
  <w:style w:type="paragraph" w:customStyle="1" w:styleId="277">
    <w:name w:val=" Char Char1 Char"/>
    <w:basedOn w:val="15"/>
    <w:qFormat/>
    <w:uiPriority w:val="0"/>
    <w:pPr>
      <w:adjustRightInd w:val="0"/>
      <w:spacing w:line="436" w:lineRule="exact"/>
      <w:ind w:left="357"/>
      <w:jc w:val="left"/>
      <w:outlineLvl w:val="3"/>
    </w:pPr>
    <w:rPr>
      <w:rFonts w:ascii="Tahoma" w:hAnsi="Tahoma"/>
      <w:b/>
      <w:sz w:val="24"/>
    </w:rPr>
  </w:style>
  <w:style w:type="paragraph" w:customStyle="1" w:styleId="278">
    <w:name w:val="表格文字"/>
    <w:basedOn w:val="1"/>
    <w:qFormat/>
    <w:uiPriority w:val="0"/>
    <w:pPr>
      <w:jc w:val="center"/>
    </w:pPr>
    <w:rPr>
      <w:rFonts w:ascii="宋体" w:hAnsi="宋体"/>
      <w:color w:val="000000"/>
      <w:sz w:val="24"/>
    </w:rPr>
  </w:style>
  <w:style w:type="paragraph" w:customStyle="1" w:styleId="279">
    <w:name w:val=" Char1 Char Char Char Char Char Char"/>
    <w:basedOn w:val="15"/>
    <w:next w:val="4"/>
    <w:qFormat/>
    <w:uiPriority w:val="0"/>
    <w:pPr>
      <w:adjustRightInd w:val="0"/>
      <w:spacing w:line="600" w:lineRule="exact"/>
      <w:jc w:val="center"/>
      <w:outlineLvl w:val="2"/>
    </w:pPr>
    <w:rPr>
      <w:szCs w:val="20"/>
      <w:lang w:val="en-US" w:eastAsia="zh-CN"/>
    </w:rPr>
  </w:style>
  <w:style w:type="paragraph" w:customStyle="1" w:styleId="280">
    <w:name w:val="CM95"/>
    <w:basedOn w:val="62"/>
    <w:next w:val="62"/>
    <w:qFormat/>
    <w:uiPriority w:val="0"/>
    <w:pPr>
      <w:spacing w:after="115"/>
    </w:pPr>
    <w:rPr>
      <w:rFonts w:cs="Times New Roman"/>
      <w:color w:val="auto"/>
      <w:szCs w:val="20"/>
    </w:rPr>
  </w:style>
  <w:style w:type="paragraph" w:customStyle="1" w:styleId="281">
    <w:name w:val="Char1"/>
    <w:basedOn w:val="1"/>
    <w:qFormat/>
    <w:uiPriority w:val="0"/>
    <w:rPr>
      <w:szCs w:val="21"/>
    </w:rPr>
  </w:style>
  <w:style w:type="paragraph" w:customStyle="1" w:styleId="282">
    <w:name w:val="Definition Term"/>
    <w:basedOn w:val="1"/>
    <w:next w:val="1"/>
    <w:qFormat/>
    <w:uiPriority w:val="0"/>
    <w:pPr>
      <w:autoSpaceDE w:val="0"/>
      <w:autoSpaceDN w:val="0"/>
      <w:adjustRightInd w:val="0"/>
      <w:jc w:val="left"/>
    </w:pPr>
    <w:rPr>
      <w:kern w:val="0"/>
      <w:sz w:val="24"/>
      <w:szCs w:val="20"/>
    </w:rPr>
  </w:style>
  <w:style w:type="paragraph" w:customStyle="1" w:styleId="2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84">
    <w:name w:val="xl24"/>
    <w:basedOn w:val="1"/>
    <w:qFormat/>
    <w:uiPriority w:val="0"/>
    <w:pPr>
      <w:widowControl/>
      <w:spacing w:before="100" w:beforeAutospacing="1" w:after="100" w:afterAutospacing="1"/>
      <w:jc w:val="center"/>
    </w:pPr>
    <w:rPr>
      <w:rFonts w:ascii="宋体" w:hAnsi="宋体"/>
      <w:kern w:val="0"/>
      <w:sz w:val="24"/>
      <w:szCs w:val="20"/>
    </w:rPr>
  </w:style>
  <w:style w:type="paragraph" w:customStyle="1" w:styleId="285">
    <w:name w:val="YD3--"/>
    <w:basedOn w:val="217"/>
    <w:qFormat/>
    <w:uiPriority w:val="0"/>
    <w:pPr>
      <w:tabs>
        <w:tab w:val="left" w:pos="8931"/>
      </w:tabs>
      <w:spacing w:before="156" w:beforeLines="50" w:line="380" w:lineRule="exact"/>
      <w:ind w:left="1132" w:leftChars="539" w:right="140" w:firstLine="566" w:firstLineChars="225"/>
    </w:pPr>
    <w:rPr>
      <w:rFonts w:ascii="仿宋_GB2312" w:hAnsi="华文中宋" w:eastAsia="仿宋_GB2312"/>
      <w:w w:val="90"/>
      <w:kern w:val="13"/>
      <w:sz w:val="28"/>
      <w:szCs w:val="28"/>
    </w:rPr>
  </w:style>
  <w:style w:type="paragraph" w:customStyle="1" w:styleId="286">
    <w:name w:val="CM34"/>
    <w:basedOn w:val="62"/>
    <w:next w:val="62"/>
    <w:qFormat/>
    <w:uiPriority w:val="0"/>
    <w:pPr>
      <w:spacing w:line="398" w:lineRule="atLeast"/>
    </w:pPr>
    <w:rPr>
      <w:rFonts w:cs="Times New Roman"/>
      <w:color w:val="auto"/>
      <w:szCs w:val="20"/>
    </w:rPr>
  </w:style>
  <w:style w:type="paragraph" w:customStyle="1" w:styleId="287">
    <w:name w:val="表格内容"/>
    <w:basedOn w:val="1"/>
    <w:qFormat/>
    <w:uiPriority w:val="0"/>
    <w:pPr>
      <w:suppressLineNumbers/>
      <w:suppressAutoHyphens/>
    </w:pPr>
    <w:rPr>
      <w:kern w:val="1"/>
    </w:rPr>
  </w:style>
  <w:style w:type="paragraph" w:customStyle="1" w:styleId="288">
    <w:name w:val="Char Char Char Char"/>
    <w:basedOn w:val="1"/>
    <w:qFormat/>
    <w:uiPriority w:val="0"/>
  </w:style>
  <w:style w:type="paragraph" w:customStyle="1" w:styleId="289">
    <w:name w:val="CM92"/>
    <w:basedOn w:val="62"/>
    <w:next w:val="62"/>
    <w:qFormat/>
    <w:uiPriority w:val="0"/>
    <w:pPr>
      <w:spacing w:after="530"/>
    </w:pPr>
    <w:rPr>
      <w:color w:val="auto"/>
    </w:rPr>
  </w:style>
  <w:style w:type="paragraph" w:customStyle="1" w:styleId="290">
    <w:name w:val="Char Char Char Char Char"/>
    <w:basedOn w:val="1"/>
    <w:qFormat/>
    <w:uiPriority w:val="0"/>
    <w:pPr>
      <w:suppressAutoHyphens/>
      <w:snapToGrid w:val="0"/>
      <w:spacing w:line="360" w:lineRule="auto"/>
      <w:ind w:left="84" w:firstLine="480"/>
      <w:jc w:val="left"/>
    </w:pPr>
    <w:rPr>
      <w:color w:val="FF0000"/>
      <w:kern w:val="1"/>
    </w:rPr>
  </w:style>
  <w:style w:type="paragraph" w:customStyle="1" w:styleId="291">
    <w:name w:val="样式2"/>
    <w:basedOn w:val="1"/>
    <w:qFormat/>
    <w:uiPriority w:val="0"/>
    <w:pPr>
      <w:ind w:firstLine="420" w:firstLineChars="150"/>
    </w:pPr>
    <w:rPr>
      <w:sz w:val="24"/>
      <w:lang w:val="en-GB"/>
    </w:rPr>
  </w:style>
  <w:style w:type="paragraph" w:customStyle="1" w:styleId="292">
    <w:name w:val="正文样式"/>
    <w:basedOn w:val="1"/>
    <w:qFormat/>
    <w:uiPriority w:val="0"/>
    <w:pPr>
      <w:spacing w:line="440" w:lineRule="exact"/>
      <w:ind w:firstLine="560" w:firstLineChars="200"/>
    </w:pPr>
    <w:rPr>
      <w:rFonts w:eastAsia="仿宋_GB2312"/>
      <w:sz w:val="28"/>
      <w:szCs w:val="20"/>
      <w:lang w:bidi="he-IL"/>
    </w:rPr>
  </w:style>
  <w:style w:type="table" w:customStyle="1" w:styleId="293">
    <w:name w:val="Table Normal"/>
    <w:qFormat/>
    <w:uiPriority w:val="0"/>
    <w:rPr>
      <w:lang w:val="en-US" w:eastAsia="zh-CN" w:bidi="ar-SA"/>
    </w:rPr>
    <w:tblPr>
      <w:tblCellMar>
        <w:top w:w="0" w:type="dxa"/>
        <w:left w:w="0" w:type="dxa"/>
        <w:bottom w:w="0" w:type="dxa"/>
        <w:right w:w="0" w:type="dxa"/>
      </w:tblCellMar>
    </w:tblPr>
  </w:style>
  <w:style w:type="paragraph" w:customStyle="1" w:styleId="29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295">
    <w:name w:val="正文格式"/>
    <w:qFormat/>
    <w:uiPriority w:val="99"/>
    <w:pPr>
      <w:spacing w:line="360" w:lineRule="auto"/>
      <w:ind w:firstLine="200" w:firstLineChars="200"/>
    </w:pPr>
    <w:rPr>
      <w:rFonts w:ascii="宋体" w:hAnsi="宋体" w:eastAsia="宋体" w:cs="Times New Roman"/>
      <w:sz w:val="28"/>
      <w:szCs w:val="22"/>
      <w:lang w:val="en-US" w:eastAsia="zh-CN" w:bidi="ar-SA"/>
    </w:rPr>
  </w:style>
  <w:style w:type="paragraph" w:customStyle="1" w:styleId="296">
    <w:name w:val="15、“一、”二级标题"/>
    <w:basedOn w:val="1"/>
    <w:qFormat/>
    <w:uiPriority w:val="0"/>
    <w:pPr>
      <w:numPr>
        <w:ilvl w:val="1"/>
        <w:numId w:val="3"/>
      </w:numPr>
      <w:tabs>
        <w:tab w:val="left" w:pos="0"/>
      </w:tabs>
      <w:wordWrap w:val="0"/>
      <w:topLinePunct/>
      <w:ind w:left="4080" w:firstLine="803" w:firstLineChars="200"/>
      <w:outlineLvl w:val="1"/>
    </w:pPr>
    <w:rPr>
      <w:b/>
    </w:rPr>
  </w:style>
  <w:style w:type="paragraph" w:customStyle="1" w:styleId="297">
    <w:name w:val="Table Text"/>
    <w:basedOn w:val="1"/>
    <w:semiHidden/>
    <w:qFormat/>
    <w:uiPriority w:val="0"/>
    <w:rPr>
      <w:rFonts w:ascii="宋体" w:hAnsi="宋体" w:eastAsia="宋体" w:cs="宋体"/>
      <w:sz w:val="22"/>
      <w:szCs w:val="22"/>
    </w:rPr>
  </w:style>
  <w:style w:type="character" w:customStyle="1" w:styleId="298">
    <w:name w:val="hps"/>
    <w:qFormat/>
    <w:uiPriority w:val="0"/>
  </w:style>
  <w:style w:type="paragraph" w:customStyle="1" w:styleId="299">
    <w:name w:val="章前标题"/>
    <w:next w:val="1"/>
    <w:qFormat/>
    <w:uiPriority w:val="0"/>
    <w:pPr>
      <w:keepNext w:val="0"/>
      <w:keepLines w:val="0"/>
      <w:pageBreakBefore w:val="0"/>
      <w:widowControl w:val="0"/>
      <w:kinsoku/>
      <w:wordWrap/>
      <w:overflowPunct/>
      <w:topLinePunct w:val="0"/>
      <w:autoSpaceDE/>
      <w:autoSpaceDN/>
      <w:bidi w:val="0"/>
      <w:adjustRightInd/>
      <w:spacing w:before="240" w:after="240" w:line="240" w:lineRule="auto"/>
      <w:jc w:val="center"/>
      <w:textAlignment w:val="auto"/>
      <w:outlineLvl w:val="9"/>
    </w:pPr>
    <w:rPr>
      <w:rFonts w:ascii="黑体" w:hAnsi="黑体" w:eastAsia="黑体" w:cs="黑体"/>
      <w:kern w:val="44"/>
      <w:sz w:val="32"/>
      <w:szCs w:val="36"/>
    </w:rPr>
  </w:style>
  <w:style w:type="paragraph" w:customStyle="1" w:styleId="300">
    <w:name w:val="章节标题"/>
    <w:next w:val="1"/>
    <w:qFormat/>
    <w:uiPriority w:val="0"/>
    <w:pPr>
      <w:pageBreakBefore w:val="0"/>
      <w:widowControl w:val="0"/>
      <w:spacing w:before="240" w:beforeLines="0" w:after="240" w:line="240" w:lineRule="auto"/>
      <w:jc w:val="center"/>
      <w:outlineLvl w:val="0"/>
    </w:pPr>
    <w:rPr>
      <w:rFonts w:ascii="Times New Roman" w:hAnsi="Times New Roman" w:eastAsia="黑体" w:cs="Times New Roman"/>
      <w:kern w:val="44"/>
      <w:sz w:val="32"/>
      <w:szCs w:val="36"/>
    </w:rPr>
  </w:style>
  <w:style w:type="paragraph" w:customStyle="1" w:styleId="301">
    <w:name w:val="内嵌文档标题1"/>
    <w:next w:val="1"/>
    <w:qFormat/>
    <w:uiPriority w:val="0"/>
    <w:pPr>
      <w:widowControl w:val="0"/>
      <w:spacing w:before="240" w:after="240" w:line="360" w:lineRule="auto"/>
      <w:jc w:val="center"/>
      <w:outlineLvl w:val="0"/>
    </w:pPr>
    <w:rPr>
      <w:rFonts w:ascii="Times New Roman" w:hAnsi="Times New Roman" w:eastAsia="宋体" w:cs="Times New Roman"/>
      <w:b/>
      <w:kern w:val="2"/>
      <w:sz w:val="24"/>
    </w:rPr>
  </w:style>
  <w:style w:type="paragraph" w:customStyle="1" w:styleId="302">
    <w:name w:val="内嵌文档标题2"/>
    <w:next w:val="1"/>
    <w:qFormat/>
    <w:uiPriority w:val="0"/>
    <w:pPr>
      <w:widowControl w:val="0"/>
      <w:shd w:val="clear" w:color="auto" w:fill="FFFFFF"/>
      <w:spacing w:before="240" w:after="240" w:line="360" w:lineRule="auto"/>
      <w:jc w:val="center"/>
      <w:outlineLvl w:val="0"/>
    </w:pPr>
    <w:rPr>
      <w:rFonts w:ascii="宋体" w:hAnsi="宋体" w:eastAsia="宋体" w:cs="宋体"/>
      <w:b/>
      <w:bCs/>
      <w:kern w:val="0"/>
      <w:sz w:val="24"/>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54</Pages>
  <Words>125</Words>
  <Characters>143</Characters>
  <Lines>879</Lines>
  <Paragraphs>887</Paragraphs>
  <TotalTime>5</TotalTime>
  <ScaleCrop>false</ScaleCrop>
  <LinksUpToDate>false</LinksUpToDate>
  <CharactersWithSpaces>158</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2025-07-18T15:43:00Z</dcterms:created>
  <dc:creator>xb21cn</dc:creator>
  <cp:lastModifiedBy>李凌峰</cp:lastModifiedBy>
  <cp:lastPrinted>2023-11-19T07:07:00Z</cp:lastPrinted>
  <dcterms:modified xsi:type="dcterms:W3CDTF">2026-04-14T14:40:17Z</dcterms:modified>
  <dc:title>议  事  纪  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57895B83D70C08C842D9DD691C00C29B_43</vt:lpwstr>
  </property>
  <property fmtid="{D5CDD505-2E9C-101B-9397-08002B2CF9AE}" pid="4" name="KSOTemplateDocerSaveRecord">
    <vt:lpwstr>eyJoZGlkIjoiZWEzYTQxODNlNGVmZGI5NmUyOTk0ZTRjNzJmMjFmZDgiLCJ1c2VySWQiOiIyNDY3MjI5NzAifQ==</vt:lpwstr>
  </property>
</Properties>
</file>